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6FDCD1BB" w14:textId="77777777" w:rsidTr="0047741D">
        <w:trPr>
          <w:gridAfter w:val="1"/>
          <w:wAfter w:w="2835" w:type="dxa"/>
          <w:cantSplit/>
          <w:trHeight w:val="569"/>
        </w:trPr>
        <w:tc>
          <w:tcPr>
            <w:tcW w:w="4786" w:type="dxa"/>
            <w:shd w:val="clear" w:color="auto" w:fill="BFBFBF"/>
            <w:vAlign w:val="center"/>
          </w:tcPr>
          <w:p w14:paraId="6FDCD1B9" w14:textId="77777777" w:rsidR="002F5C5E" w:rsidRPr="009E2B84" w:rsidRDefault="00CA33EC"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FDCD2DF" wp14:editId="6FDCD2E0">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14:paraId="6FDCD1BA" w14:textId="77777777" w:rsidR="002F5C5E" w:rsidRPr="009E2B84" w:rsidRDefault="002F5C5E" w:rsidP="00AC4A99">
            <w:pPr>
              <w:jc w:val="center"/>
              <w:rPr>
                <w:b/>
              </w:rPr>
            </w:pPr>
            <w:r w:rsidRPr="009E2B84">
              <w:rPr>
                <w:b/>
              </w:rPr>
              <w:t>ON</w:t>
            </w:r>
          </w:p>
        </w:tc>
      </w:tr>
      <w:tr w:rsidR="002F5C5E" w:rsidRPr="009E2B84" w14:paraId="6FDCD1BE" w14:textId="77777777" w:rsidTr="0047741D">
        <w:trPr>
          <w:gridAfter w:val="1"/>
          <w:wAfter w:w="2835" w:type="dxa"/>
          <w:cantSplit/>
          <w:trHeight w:val="654"/>
        </w:trPr>
        <w:tc>
          <w:tcPr>
            <w:tcW w:w="4786" w:type="dxa"/>
            <w:tcBorders>
              <w:bottom w:val="nil"/>
            </w:tcBorders>
            <w:vAlign w:val="center"/>
          </w:tcPr>
          <w:p w14:paraId="6FDCD1BC" w14:textId="77777777" w:rsidR="002F5C5E" w:rsidRPr="007649B6" w:rsidRDefault="007649B6" w:rsidP="007649B6">
            <w:pPr>
              <w:jc w:val="center"/>
              <w:rPr>
                <w:b/>
                <w:szCs w:val="22"/>
              </w:rPr>
            </w:pPr>
            <w:r w:rsidRPr="007649B6">
              <w:rPr>
                <w:b/>
                <w:szCs w:val="22"/>
              </w:rPr>
              <w:t>Shared Services Joint</w:t>
            </w:r>
            <w:r w:rsidR="00BE2A3F" w:rsidRPr="007649B6">
              <w:rPr>
                <w:b/>
                <w:szCs w:val="22"/>
              </w:rPr>
              <w:t xml:space="preserve"> </w:t>
            </w:r>
            <w:r w:rsidR="00EB2D32" w:rsidRPr="007649B6">
              <w:rPr>
                <w:b/>
                <w:szCs w:val="22"/>
              </w:rPr>
              <w:t>Committee</w:t>
            </w:r>
          </w:p>
        </w:tc>
        <w:tc>
          <w:tcPr>
            <w:tcW w:w="2268" w:type="dxa"/>
            <w:gridSpan w:val="2"/>
            <w:tcBorders>
              <w:bottom w:val="nil"/>
            </w:tcBorders>
            <w:vAlign w:val="center"/>
          </w:tcPr>
          <w:p w14:paraId="6FDCD1BD" w14:textId="77777777" w:rsidR="002F5C5E" w:rsidRPr="004A127F" w:rsidRDefault="007649B6" w:rsidP="004A127F">
            <w:pPr>
              <w:jc w:val="center"/>
              <w:rPr>
                <w:b/>
              </w:rPr>
            </w:pPr>
            <w:r w:rsidRPr="004A127F">
              <w:rPr>
                <w:b/>
              </w:rPr>
              <w:t>7 February 2019</w:t>
            </w:r>
          </w:p>
        </w:tc>
      </w:tr>
      <w:tr w:rsidR="002F5C5E" w:rsidRPr="009E2B84" w14:paraId="6FDCD1C0" w14:textId="77777777" w:rsidTr="0047741D">
        <w:trPr>
          <w:gridAfter w:val="1"/>
          <w:wAfter w:w="2835" w:type="dxa"/>
          <w:cantSplit/>
          <w:trHeight w:val="560"/>
        </w:trPr>
        <w:tc>
          <w:tcPr>
            <w:tcW w:w="7054" w:type="dxa"/>
            <w:gridSpan w:val="3"/>
            <w:tcBorders>
              <w:left w:val="nil"/>
              <w:right w:val="nil"/>
            </w:tcBorders>
          </w:tcPr>
          <w:p w14:paraId="6FDCD1BF" w14:textId="77777777" w:rsidR="002F5C5E" w:rsidRPr="009E2B84" w:rsidRDefault="002F5C5E" w:rsidP="003902A2">
            <w:pPr>
              <w:jc w:val="right"/>
              <w:rPr>
                <w:sz w:val="8"/>
              </w:rPr>
            </w:pPr>
          </w:p>
        </w:tc>
      </w:tr>
      <w:tr w:rsidR="0047741D" w:rsidRPr="009E2B84" w14:paraId="6FDCD1C3" w14:textId="77777777" w:rsidTr="0047741D">
        <w:trPr>
          <w:cantSplit/>
        </w:trPr>
        <w:tc>
          <w:tcPr>
            <w:tcW w:w="6912" w:type="dxa"/>
            <w:gridSpan w:val="2"/>
            <w:shd w:val="clear" w:color="auto" w:fill="BFBFBF"/>
            <w:vAlign w:val="center"/>
          </w:tcPr>
          <w:p w14:paraId="6FDCD1C1" w14:textId="77777777" w:rsidR="0047741D" w:rsidRPr="009E2B84" w:rsidRDefault="0047741D" w:rsidP="00E2196F">
            <w:pPr>
              <w:jc w:val="center"/>
              <w:rPr>
                <w:b/>
              </w:rPr>
            </w:pPr>
            <w:r w:rsidRPr="009E2B84">
              <w:rPr>
                <w:b/>
              </w:rPr>
              <w:t>TITLE</w:t>
            </w:r>
          </w:p>
        </w:tc>
        <w:tc>
          <w:tcPr>
            <w:tcW w:w="2977" w:type="dxa"/>
            <w:gridSpan w:val="2"/>
            <w:shd w:val="clear" w:color="auto" w:fill="BFBFBF"/>
            <w:vAlign w:val="center"/>
          </w:tcPr>
          <w:p w14:paraId="6FDCD1C2" w14:textId="77777777" w:rsidR="0047741D" w:rsidRPr="009E2B84" w:rsidRDefault="0047741D" w:rsidP="00E2196F">
            <w:pPr>
              <w:jc w:val="center"/>
              <w:rPr>
                <w:b/>
              </w:rPr>
            </w:pPr>
            <w:r>
              <w:rPr>
                <w:b/>
              </w:rPr>
              <w:t>REPORT OF</w:t>
            </w:r>
          </w:p>
        </w:tc>
      </w:tr>
      <w:tr w:rsidR="0047741D" w:rsidRPr="009E2B84" w14:paraId="6FDCD1C8" w14:textId="77777777" w:rsidTr="0047741D">
        <w:trPr>
          <w:cantSplit/>
          <w:trHeight w:val="667"/>
        </w:trPr>
        <w:tc>
          <w:tcPr>
            <w:tcW w:w="6912" w:type="dxa"/>
            <w:gridSpan w:val="2"/>
            <w:vAlign w:val="center"/>
          </w:tcPr>
          <w:p w14:paraId="6FDCD1C4" w14:textId="77777777" w:rsidR="0047741D" w:rsidRPr="009E2B84" w:rsidRDefault="0047741D" w:rsidP="00E2196F">
            <w:pPr>
              <w:rPr>
                <w:b/>
              </w:rPr>
            </w:pPr>
          </w:p>
          <w:p w14:paraId="6FDCD1C5" w14:textId="77777777" w:rsidR="007649B6" w:rsidRDefault="007649B6" w:rsidP="007649B6">
            <w:pPr>
              <w:rPr>
                <w:b/>
              </w:rPr>
            </w:pPr>
            <w:r>
              <w:rPr>
                <w:b/>
              </w:rPr>
              <w:t xml:space="preserve">Inspection of the Financial &amp; Assurance Shared Services Annual </w:t>
            </w:r>
            <w:r w:rsidR="006C08E2">
              <w:rPr>
                <w:b/>
              </w:rPr>
              <w:t>Statements</w:t>
            </w:r>
            <w:r>
              <w:rPr>
                <w:b/>
              </w:rPr>
              <w:t xml:space="preserve"> 2017/18</w:t>
            </w:r>
          </w:p>
          <w:p w14:paraId="6FDCD1C6" w14:textId="77777777" w:rsidR="0047741D" w:rsidRPr="009E2B84" w:rsidRDefault="0047741D" w:rsidP="00E2196F">
            <w:pPr>
              <w:jc w:val="center"/>
              <w:rPr>
                <w:b/>
              </w:rPr>
            </w:pPr>
          </w:p>
        </w:tc>
        <w:tc>
          <w:tcPr>
            <w:tcW w:w="2977" w:type="dxa"/>
            <w:gridSpan w:val="2"/>
            <w:vAlign w:val="center"/>
          </w:tcPr>
          <w:p w14:paraId="6FDCD1C7" w14:textId="50B07C75" w:rsidR="0047741D" w:rsidRPr="007649B6" w:rsidRDefault="004607F1" w:rsidP="004A127F">
            <w:r w:rsidRPr="007649B6">
              <w:t xml:space="preserve">Interim Head of </w:t>
            </w:r>
            <w:r>
              <w:t>Shared Assurance Services (</w:t>
            </w:r>
            <w:r w:rsidRPr="007649B6">
              <w:t xml:space="preserve">Audit </w:t>
            </w:r>
            <w:r>
              <w:t>and</w:t>
            </w:r>
            <w:r w:rsidRPr="007649B6">
              <w:t xml:space="preserve"> Risk</w:t>
            </w:r>
            <w:r>
              <w:t>)</w:t>
            </w:r>
            <w:bookmarkStart w:id="0" w:name="_GoBack"/>
            <w:bookmarkEnd w:id="0"/>
          </w:p>
        </w:tc>
      </w:tr>
    </w:tbl>
    <w:p w14:paraId="6FDCD1C9" w14:textId="77777777" w:rsidR="002F5C5E" w:rsidRPr="009E2B84" w:rsidRDefault="002F5C5E" w:rsidP="002F5C5E"/>
    <w:p w14:paraId="6FDCD1CA"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6FDCD1D0" w14:textId="77777777" w:rsidTr="00E2196F">
        <w:tc>
          <w:tcPr>
            <w:tcW w:w="6652" w:type="dxa"/>
            <w:shd w:val="clear" w:color="auto" w:fill="auto"/>
          </w:tcPr>
          <w:p w14:paraId="6FDCD1CB" w14:textId="77777777" w:rsidR="0047741D" w:rsidRDefault="0047741D" w:rsidP="00E2196F">
            <w:pPr>
              <w:rPr>
                <w:szCs w:val="22"/>
              </w:rPr>
            </w:pPr>
          </w:p>
          <w:p w14:paraId="6FDCD1CC" w14:textId="77777777" w:rsidR="0047741D" w:rsidRPr="009C1143" w:rsidRDefault="0047741D" w:rsidP="00E2196F">
            <w:pPr>
              <w:rPr>
                <w:szCs w:val="22"/>
              </w:rPr>
            </w:pPr>
            <w:r>
              <w:rPr>
                <w:szCs w:val="22"/>
              </w:rPr>
              <w:t>Is this report confidential?</w:t>
            </w:r>
          </w:p>
        </w:tc>
        <w:tc>
          <w:tcPr>
            <w:tcW w:w="3266" w:type="dxa"/>
            <w:shd w:val="clear" w:color="auto" w:fill="auto"/>
          </w:tcPr>
          <w:p w14:paraId="6FDCD1CD" w14:textId="77777777" w:rsidR="00E63940" w:rsidRDefault="00E63940" w:rsidP="00E63940">
            <w:pPr>
              <w:rPr>
                <w:b/>
                <w:szCs w:val="22"/>
              </w:rPr>
            </w:pPr>
          </w:p>
          <w:p w14:paraId="6FDCD1CE" w14:textId="77777777" w:rsidR="0047741D" w:rsidRPr="009C1143" w:rsidRDefault="0047741D" w:rsidP="00E2196F">
            <w:pPr>
              <w:rPr>
                <w:i/>
                <w:color w:val="0070C0"/>
                <w:szCs w:val="22"/>
              </w:rPr>
            </w:pPr>
            <w:r w:rsidRPr="00F3057A">
              <w:rPr>
                <w:b/>
                <w:szCs w:val="22"/>
              </w:rPr>
              <w:t xml:space="preserve">No </w:t>
            </w:r>
          </w:p>
          <w:p w14:paraId="6FDCD1CF" w14:textId="77777777" w:rsidR="0047741D" w:rsidRPr="009C1143" w:rsidRDefault="0047741D" w:rsidP="00E2196F">
            <w:pPr>
              <w:rPr>
                <w:szCs w:val="22"/>
              </w:rPr>
            </w:pPr>
          </w:p>
        </w:tc>
      </w:tr>
    </w:tbl>
    <w:p w14:paraId="6FDCD1D1" w14:textId="77777777" w:rsidR="0047741D" w:rsidRDefault="0047741D" w:rsidP="002F5C5E">
      <w:pPr>
        <w:rPr>
          <w:sz w:val="16"/>
          <w:szCs w:val="16"/>
        </w:rPr>
      </w:pPr>
    </w:p>
    <w:p w14:paraId="6FDCD1D2" w14:textId="77777777" w:rsidR="00EB2D32" w:rsidRPr="009C1143" w:rsidRDefault="00EB2D32" w:rsidP="002F5C5E">
      <w:pPr>
        <w:rPr>
          <w:sz w:val="16"/>
          <w:szCs w:val="16"/>
        </w:rPr>
      </w:pPr>
    </w:p>
    <w:p w14:paraId="6FDCD1D3" w14:textId="77777777" w:rsidR="002F5C5E" w:rsidRDefault="002F5C5E" w:rsidP="00673664">
      <w:pPr>
        <w:keepNext/>
        <w:numPr>
          <w:ilvl w:val="0"/>
          <w:numId w:val="8"/>
        </w:numPr>
        <w:ind w:left="900" w:hanging="900"/>
        <w:outlineLvl w:val="0"/>
        <w:rPr>
          <w:b/>
          <w:szCs w:val="22"/>
        </w:rPr>
      </w:pPr>
      <w:r w:rsidRPr="009C1143">
        <w:rPr>
          <w:b/>
          <w:szCs w:val="22"/>
        </w:rPr>
        <w:t xml:space="preserve">PURPOSE OF THE REPORT  </w:t>
      </w:r>
    </w:p>
    <w:p w14:paraId="6FDCD1D4" w14:textId="77777777" w:rsidR="000B5251" w:rsidRPr="009C1143" w:rsidRDefault="000B5251" w:rsidP="00673664">
      <w:pPr>
        <w:keepNext/>
        <w:ind w:left="900" w:hanging="900"/>
        <w:outlineLvl w:val="0"/>
        <w:rPr>
          <w:b/>
          <w:szCs w:val="22"/>
        </w:rPr>
      </w:pPr>
    </w:p>
    <w:p w14:paraId="6FDCD1D5" w14:textId="77777777" w:rsidR="007649B6" w:rsidRPr="007649B6" w:rsidRDefault="007649B6" w:rsidP="00673664">
      <w:pPr>
        <w:ind w:left="900"/>
        <w:rPr>
          <w:szCs w:val="22"/>
        </w:rPr>
      </w:pPr>
      <w:r w:rsidRPr="007649B6">
        <w:rPr>
          <w:szCs w:val="22"/>
        </w:rPr>
        <w:t xml:space="preserve">To </w:t>
      </w:r>
      <w:r w:rsidR="00C2042E">
        <w:rPr>
          <w:szCs w:val="22"/>
        </w:rPr>
        <w:t xml:space="preserve">provide to members the result of the Internal Inspection by Internal Audit of the </w:t>
      </w:r>
      <w:r w:rsidRPr="007649B6">
        <w:rPr>
          <w:szCs w:val="22"/>
        </w:rPr>
        <w:t xml:space="preserve">Financial &amp; Assurance Shared Services </w:t>
      </w:r>
      <w:r w:rsidR="00FF0801" w:rsidRPr="002311BC">
        <w:t>year-end financial s</w:t>
      </w:r>
      <w:r w:rsidR="00FF0801">
        <w:t xml:space="preserve">tatements </w:t>
      </w:r>
      <w:r w:rsidRPr="007649B6">
        <w:rPr>
          <w:szCs w:val="22"/>
        </w:rPr>
        <w:t>2017/18.</w:t>
      </w:r>
    </w:p>
    <w:p w14:paraId="6FDCD1D6" w14:textId="77777777" w:rsidR="002F5C5E" w:rsidRPr="009C1143" w:rsidRDefault="002F5C5E" w:rsidP="00673664">
      <w:pPr>
        <w:ind w:left="900" w:hanging="900"/>
        <w:rPr>
          <w:szCs w:val="22"/>
        </w:rPr>
      </w:pPr>
    </w:p>
    <w:p w14:paraId="6FDCD1D7" w14:textId="77777777" w:rsidR="002F5C5E" w:rsidRDefault="002F5C5E" w:rsidP="00673664">
      <w:pPr>
        <w:keepNext/>
        <w:numPr>
          <w:ilvl w:val="0"/>
          <w:numId w:val="8"/>
        </w:numPr>
        <w:ind w:left="900" w:hanging="900"/>
        <w:outlineLvl w:val="0"/>
        <w:rPr>
          <w:b/>
          <w:szCs w:val="22"/>
        </w:rPr>
      </w:pPr>
      <w:r w:rsidRPr="009C1143">
        <w:rPr>
          <w:b/>
          <w:szCs w:val="22"/>
        </w:rPr>
        <w:t>RECOMMENDATIONS</w:t>
      </w:r>
    </w:p>
    <w:p w14:paraId="6FDCD1D8" w14:textId="77777777" w:rsidR="000B5251" w:rsidRPr="009C1143" w:rsidRDefault="000B5251" w:rsidP="00673664">
      <w:pPr>
        <w:keepNext/>
        <w:ind w:left="900" w:hanging="900"/>
        <w:outlineLvl w:val="0"/>
        <w:rPr>
          <w:b/>
          <w:szCs w:val="22"/>
        </w:rPr>
      </w:pPr>
    </w:p>
    <w:p w14:paraId="6FDCD1D9" w14:textId="77777777" w:rsidR="002F5C5E" w:rsidRPr="007649B6" w:rsidRDefault="002F5C5E" w:rsidP="00673664">
      <w:pPr>
        <w:ind w:left="900" w:hanging="900"/>
        <w:rPr>
          <w:color w:val="2E74B5"/>
          <w:szCs w:val="22"/>
        </w:rPr>
      </w:pPr>
      <w:r w:rsidRPr="00525728">
        <w:rPr>
          <w:szCs w:val="22"/>
        </w:rPr>
        <w:t>2.1</w:t>
      </w:r>
      <w:r w:rsidR="00525728">
        <w:rPr>
          <w:i/>
          <w:color w:val="2E74B5"/>
          <w:szCs w:val="22"/>
        </w:rPr>
        <w:tab/>
      </w:r>
      <w:r w:rsidR="007649B6" w:rsidRPr="00FF0801">
        <w:rPr>
          <w:szCs w:val="22"/>
        </w:rPr>
        <w:t xml:space="preserve">That </w:t>
      </w:r>
      <w:r w:rsidR="00C2042E">
        <w:rPr>
          <w:szCs w:val="22"/>
        </w:rPr>
        <w:t>Members consider the findings within the report and note its contents.</w:t>
      </w:r>
    </w:p>
    <w:p w14:paraId="6FDCD1DA" w14:textId="77777777" w:rsidR="002F5C5E" w:rsidRPr="009C1143" w:rsidRDefault="002F5C5E" w:rsidP="00673664">
      <w:pPr>
        <w:ind w:left="900" w:hanging="900"/>
        <w:rPr>
          <w:i/>
          <w:color w:val="2E74B5"/>
          <w:szCs w:val="22"/>
        </w:rPr>
      </w:pPr>
    </w:p>
    <w:p w14:paraId="6FDCD1DB" w14:textId="77777777" w:rsidR="002F5C5E" w:rsidRPr="009C1143" w:rsidRDefault="002F5C5E" w:rsidP="00673664">
      <w:pPr>
        <w:ind w:left="900" w:hanging="900"/>
        <w:rPr>
          <w:sz w:val="16"/>
          <w:szCs w:val="16"/>
        </w:rPr>
      </w:pPr>
    </w:p>
    <w:p w14:paraId="6FDCD1DC" w14:textId="77777777" w:rsidR="002F5C5E" w:rsidRPr="00C2042E" w:rsidRDefault="002F5C5E" w:rsidP="00673664">
      <w:pPr>
        <w:keepNext/>
        <w:numPr>
          <w:ilvl w:val="0"/>
          <w:numId w:val="8"/>
        </w:numPr>
        <w:ind w:left="900" w:hanging="900"/>
        <w:outlineLvl w:val="0"/>
        <w:rPr>
          <w:b/>
          <w:szCs w:val="22"/>
        </w:rPr>
      </w:pPr>
      <w:r w:rsidRPr="00C2042E">
        <w:rPr>
          <w:b/>
          <w:szCs w:val="22"/>
        </w:rPr>
        <w:t xml:space="preserve">EXECUTIVE SUMMARY </w:t>
      </w:r>
    </w:p>
    <w:p w14:paraId="6FDCD1DD" w14:textId="77777777" w:rsidR="000B5251" w:rsidRPr="00C2042E" w:rsidRDefault="000B5251" w:rsidP="00673664">
      <w:pPr>
        <w:keepNext/>
        <w:ind w:left="900" w:hanging="900"/>
        <w:outlineLvl w:val="0"/>
        <w:rPr>
          <w:b/>
          <w:szCs w:val="22"/>
        </w:rPr>
      </w:pPr>
    </w:p>
    <w:p w14:paraId="6FDCD1DE" w14:textId="77777777" w:rsidR="002F5C5E" w:rsidRPr="00C2042E" w:rsidRDefault="00C2042E" w:rsidP="00673664">
      <w:pPr>
        <w:ind w:left="900" w:hanging="900"/>
        <w:rPr>
          <w:szCs w:val="22"/>
        </w:rPr>
      </w:pPr>
      <w:r>
        <w:rPr>
          <w:szCs w:val="22"/>
        </w:rPr>
        <w:t xml:space="preserve">3.1 </w:t>
      </w:r>
      <w:r w:rsidR="00673664">
        <w:rPr>
          <w:szCs w:val="22"/>
        </w:rPr>
        <w:tab/>
      </w:r>
      <w:r>
        <w:rPr>
          <w:szCs w:val="22"/>
        </w:rPr>
        <w:t xml:space="preserve">The Shared Services Partnership is a </w:t>
      </w:r>
      <w:r w:rsidR="002873A1">
        <w:rPr>
          <w:szCs w:val="22"/>
        </w:rPr>
        <w:t>high priority for both Councils.  The implementation of the Local Audit &amp; Accountability 2014 identified changes to the external audit arrangements of joint committees by removing the requirement for a formal external audit.  It was agreed by Members that an internal inspection should be undertaken to provide the Shared Services Joint Committee with assurance in respect of the integrity of the partnerships year-end financial statement.  The inspection was agreed to be a “light touch” inspection.  This inspection has been undertaken for 2017/18 and this report seeks to provide that assurance.  Internal Audit have undertaken the work as part of the Audit Plan for 2018/19.</w:t>
      </w:r>
    </w:p>
    <w:p w14:paraId="6FDCD1DF" w14:textId="77777777" w:rsidR="002F5C5E" w:rsidRPr="009C1143" w:rsidRDefault="002F5C5E" w:rsidP="002F5C5E">
      <w:pPr>
        <w:rPr>
          <w:szCs w:val="22"/>
        </w:rPr>
      </w:pPr>
    </w:p>
    <w:p w14:paraId="6FDCD1E0" w14:textId="77777777" w:rsidR="002F5C5E" w:rsidRDefault="002F5C5E" w:rsidP="00673664">
      <w:pPr>
        <w:keepNext/>
        <w:numPr>
          <w:ilvl w:val="0"/>
          <w:numId w:val="8"/>
        </w:numPr>
        <w:tabs>
          <w:tab w:val="left" w:pos="900"/>
        </w:tabs>
        <w:ind w:left="900" w:hanging="900"/>
        <w:outlineLvl w:val="0"/>
        <w:rPr>
          <w:b/>
          <w:szCs w:val="22"/>
        </w:rPr>
      </w:pPr>
      <w:r w:rsidRPr="009C1143">
        <w:rPr>
          <w:b/>
          <w:szCs w:val="22"/>
        </w:rPr>
        <w:t>CORPORATE PRIORITIES</w:t>
      </w:r>
    </w:p>
    <w:p w14:paraId="6FDCD1E1" w14:textId="77777777" w:rsidR="00772B9C" w:rsidRDefault="00772B9C" w:rsidP="00772B9C">
      <w:pPr>
        <w:keepNext/>
        <w:outlineLvl w:val="0"/>
        <w:rPr>
          <w:b/>
          <w:szCs w:val="22"/>
        </w:rPr>
      </w:pPr>
    </w:p>
    <w:p w14:paraId="6FDCD1E2" w14:textId="77777777" w:rsidR="00772B9C" w:rsidRPr="00772B9C" w:rsidRDefault="00772B9C" w:rsidP="00673664">
      <w:pPr>
        <w:keepNext/>
        <w:ind w:left="900" w:hanging="18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14:paraId="6FDCD1E3" w14:textId="77777777" w:rsidR="00772B9C" w:rsidRDefault="00772B9C" w:rsidP="00673664">
      <w:pPr>
        <w:keepNext/>
        <w:ind w:left="900" w:hanging="540"/>
        <w:outlineLvl w:val="0"/>
        <w:rPr>
          <w:b/>
          <w:szCs w:val="22"/>
        </w:rPr>
      </w:pPr>
    </w:p>
    <w:tbl>
      <w:tblPr>
        <w:tblW w:w="5273" w:type="dxa"/>
        <w:tblInd w:w="1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14:paraId="6FDCD1E7" w14:textId="77777777" w:rsidTr="00673664">
        <w:tc>
          <w:tcPr>
            <w:tcW w:w="4423" w:type="dxa"/>
            <w:shd w:val="clear" w:color="auto" w:fill="auto"/>
          </w:tcPr>
          <w:p w14:paraId="6FDCD1E4" w14:textId="77777777" w:rsidR="00772B9C" w:rsidRPr="000828CC" w:rsidRDefault="00772B9C" w:rsidP="00673664">
            <w:pPr>
              <w:ind w:left="900" w:hanging="540"/>
              <w:rPr>
                <w:szCs w:val="22"/>
              </w:rPr>
            </w:pPr>
            <w:r w:rsidRPr="000828CC">
              <w:rPr>
                <w:szCs w:val="22"/>
              </w:rPr>
              <w:t>Excellence and Financial Sustainability</w:t>
            </w:r>
          </w:p>
          <w:p w14:paraId="6FDCD1E5" w14:textId="77777777" w:rsidR="00772B9C" w:rsidRPr="000828CC" w:rsidRDefault="00772B9C" w:rsidP="00673664">
            <w:pPr>
              <w:ind w:left="900" w:hanging="540"/>
              <w:rPr>
                <w:szCs w:val="22"/>
              </w:rPr>
            </w:pPr>
          </w:p>
        </w:tc>
        <w:tc>
          <w:tcPr>
            <w:tcW w:w="850" w:type="dxa"/>
            <w:shd w:val="clear" w:color="auto" w:fill="auto"/>
          </w:tcPr>
          <w:p w14:paraId="6FDCD1E6" w14:textId="77777777" w:rsidR="00772B9C" w:rsidRPr="008770BE" w:rsidRDefault="007649B6" w:rsidP="00673664">
            <w:pPr>
              <w:ind w:left="900" w:hanging="540"/>
              <w:jc w:val="center"/>
              <w:rPr>
                <w:szCs w:val="22"/>
                <w:highlight w:val="yellow"/>
              </w:rPr>
            </w:pPr>
            <w:r w:rsidRPr="007649B6">
              <w:rPr>
                <w:szCs w:val="22"/>
              </w:rPr>
              <w:t>x</w:t>
            </w:r>
          </w:p>
        </w:tc>
      </w:tr>
      <w:tr w:rsidR="00772B9C" w:rsidRPr="008770BE" w14:paraId="6FDCD1EB" w14:textId="77777777" w:rsidTr="00673664">
        <w:tc>
          <w:tcPr>
            <w:tcW w:w="4423" w:type="dxa"/>
            <w:shd w:val="clear" w:color="auto" w:fill="auto"/>
          </w:tcPr>
          <w:p w14:paraId="6FDCD1E8" w14:textId="77777777" w:rsidR="00772B9C" w:rsidRPr="000828CC" w:rsidRDefault="00772B9C" w:rsidP="00673664">
            <w:pPr>
              <w:ind w:left="900" w:hanging="540"/>
              <w:rPr>
                <w:szCs w:val="22"/>
              </w:rPr>
            </w:pPr>
            <w:r w:rsidRPr="000828CC">
              <w:rPr>
                <w:szCs w:val="22"/>
              </w:rPr>
              <w:t>Health and Wellbeing</w:t>
            </w:r>
          </w:p>
          <w:p w14:paraId="6FDCD1E9" w14:textId="77777777" w:rsidR="00772B9C" w:rsidRPr="000828CC" w:rsidRDefault="00772B9C" w:rsidP="00673664">
            <w:pPr>
              <w:ind w:left="900" w:hanging="540"/>
              <w:rPr>
                <w:szCs w:val="22"/>
              </w:rPr>
            </w:pPr>
          </w:p>
        </w:tc>
        <w:tc>
          <w:tcPr>
            <w:tcW w:w="850" w:type="dxa"/>
            <w:shd w:val="clear" w:color="auto" w:fill="auto"/>
          </w:tcPr>
          <w:p w14:paraId="6FDCD1EA" w14:textId="77777777" w:rsidR="00772B9C" w:rsidRPr="008770BE" w:rsidRDefault="00772B9C" w:rsidP="00673664">
            <w:pPr>
              <w:ind w:left="900" w:hanging="540"/>
              <w:rPr>
                <w:szCs w:val="22"/>
                <w:highlight w:val="yellow"/>
              </w:rPr>
            </w:pPr>
          </w:p>
        </w:tc>
      </w:tr>
      <w:tr w:rsidR="00772B9C" w:rsidRPr="009C1143" w14:paraId="6FDCD1EF" w14:textId="77777777" w:rsidTr="00673664">
        <w:tc>
          <w:tcPr>
            <w:tcW w:w="4423" w:type="dxa"/>
            <w:shd w:val="clear" w:color="auto" w:fill="auto"/>
          </w:tcPr>
          <w:p w14:paraId="6FDCD1EC" w14:textId="77777777" w:rsidR="00772B9C" w:rsidRPr="000828CC" w:rsidRDefault="00772B9C" w:rsidP="00673664">
            <w:pPr>
              <w:ind w:left="900" w:hanging="540"/>
              <w:rPr>
                <w:szCs w:val="22"/>
              </w:rPr>
            </w:pPr>
            <w:r w:rsidRPr="000828CC">
              <w:rPr>
                <w:szCs w:val="22"/>
              </w:rPr>
              <w:t>Place</w:t>
            </w:r>
          </w:p>
          <w:p w14:paraId="6FDCD1ED" w14:textId="77777777" w:rsidR="00772B9C" w:rsidRPr="000828CC" w:rsidRDefault="00772B9C" w:rsidP="00673664">
            <w:pPr>
              <w:ind w:left="900" w:hanging="540"/>
              <w:rPr>
                <w:szCs w:val="22"/>
              </w:rPr>
            </w:pPr>
          </w:p>
        </w:tc>
        <w:tc>
          <w:tcPr>
            <w:tcW w:w="850" w:type="dxa"/>
            <w:shd w:val="clear" w:color="auto" w:fill="auto"/>
          </w:tcPr>
          <w:p w14:paraId="6FDCD1EE" w14:textId="77777777" w:rsidR="00772B9C" w:rsidRPr="009C1143" w:rsidRDefault="00772B9C" w:rsidP="00673664">
            <w:pPr>
              <w:ind w:left="900" w:hanging="540"/>
              <w:rPr>
                <w:szCs w:val="22"/>
              </w:rPr>
            </w:pPr>
          </w:p>
        </w:tc>
      </w:tr>
    </w:tbl>
    <w:p w14:paraId="6FDCD1F0" w14:textId="77777777" w:rsidR="00772B9C" w:rsidRDefault="00772B9C" w:rsidP="00673664">
      <w:pPr>
        <w:ind w:left="900" w:hanging="540"/>
      </w:pPr>
    </w:p>
    <w:p w14:paraId="6FDCD1F1" w14:textId="77777777" w:rsidR="00772B9C" w:rsidRDefault="00772B9C" w:rsidP="00673664">
      <w:pPr>
        <w:ind w:left="900" w:hanging="180"/>
      </w:pPr>
      <w:r>
        <w:t>Projects relating to People in the Corporate Plan:</w:t>
      </w:r>
    </w:p>
    <w:p w14:paraId="6FDCD1F2" w14:textId="77777777" w:rsidR="00772B9C" w:rsidRDefault="00772B9C" w:rsidP="00673664">
      <w:pPr>
        <w:ind w:left="900" w:hanging="540"/>
      </w:pPr>
    </w:p>
    <w:tbl>
      <w:tblPr>
        <w:tblW w:w="5273" w:type="dxa"/>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14:paraId="6FDCD1F6" w14:textId="77777777" w:rsidTr="00673664">
        <w:tc>
          <w:tcPr>
            <w:tcW w:w="4423" w:type="dxa"/>
            <w:shd w:val="clear" w:color="auto" w:fill="auto"/>
          </w:tcPr>
          <w:p w14:paraId="6FDCD1F3" w14:textId="77777777" w:rsidR="00772B9C" w:rsidRDefault="00772B9C" w:rsidP="00673664">
            <w:pPr>
              <w:ind w:left="900" w:hanging="540"/>
              <w:rPr>
                <w:szCs w:val="22"/>
              </w:rPr>
            </w:pPr>
            <w:r>
              <w:rPr>
                <w:szCs w:val="22"/>
              </w:rPr>
              <w:t xml:space="preserve">People </w:t>
            </w:r>
          </w:p>
          <w:p w14:paraId="6FDCD1F4" w14:textId="77777777" w:rsidR="00772B9C" w:rsidRPr="000828CC" w:rsidRDefault="00772B9C" w:rsidP="00673664">
            <w:pPr>
              <w:ind w:left="900" w:hanging="540"/>
              <w:rPr>
                <w:szCs w:val="22"/>
              </w:rPr>
            </w:pPr>
          </w:p>
        </w:tc>
        <w:tc>
          <w:tcPr>
            <w:tcW w:w="850" w:type="dxa"/>
            <w:shd w:val="clear" w:color="auto" w:fill="auto"/>
          </w:tcPr>
          <w:p w14:paraId="6FDCD1F5" w14:textId="77777777" w:rsidR="00772B9C" w:rsidRPr="009C1143" w:rsidRDefault="00772B9C" w:rsidP="00673664">
            <w:pPr>
              <w:ind w:left="900" w:hanging="540"/>
              <w:rPr>
                <w:szCs w:val="22"/>
              </w:rPr>
            </w:pPr>
          </w:p>
        </w:tc>
      </w:tr>
    </w:tbl>
    <w:p w14:paraId="6FDCD1F7" w14:textId="77777777" w:rsidR="002F5C5E" w:rsidRDefault="002F5C5E" w:rsidP="002F5C5E">
      <w:pPr>
        <w:rPr>
          <w:szCs w:val="22"/>
        </w:rPr>
      </w:pPr>
    </w:p>
    <w:p w14:paraId="6FDCD1F8" w14:textId="77777777" w:rsidR="00772B9C" w:rsidRDefault="00772B9C" w:rsidP="002F5C5E">
      <w:pPr>
        <w:rPr>
          <w:szCs w:val="22"/>
        </w:rPr>
      </w:pPr>
    </w:p>
    <w:p w14:paraId="6FDCD1F9" w14:textId="77777777" w:rsidR="00DD43EC" w:rsidRPr="00DD43EC" w:rsidRDefault="002F5C5E" w:rsidP="00673664">
      <w:pPr>
        <w:pStyle w:val="ListParagraph"/>
        <w:numPr>
          <w:ilvl w:val="0"/>
          <w:numId w:val="8"/>
        </w:numPr>
        <w:ind w:left="810" w:hanging="810"/>
        <w:rPr>
          <w:rFonts w:ascii="Arial" w:hAnsi="Arial" w:cs="Arial"/>
        </w:rPr>
      </w:pPr>
      <w:r w:rsidRPr="00DD43EC">
        <w:rPr>
          <w:rFonts w:ascii="Arial" w:hAnsi="Arial" w:cs="Arial"/>
          <w:b/>
        </w:rPr>
        <w:t>BACKGROUND TO THE REPORT</w:t>
      </w:r>
    </w:p>
    <w:p w14:paraId="6FDCD1FA" w14:textId="77777777" w:rsidR="00DD43EC" w:rsidRPr="00DD43EC" w:rsidRDefault="00DD43EC" w:rsidP="00673664">
      <w:pPr>
        <w:pStyle w:val="ListParagraph"/>
        <w:ind w:left="810" w:hanging="810"/>
        <w:rPr>
          <w:rFonts w:ascii="Arial" w:hAnsi="Arial" w:cs="Arial"/>
        </w:rPr>
      </w:pPr>
    </w:p>
    <w:p w14:paraId="6FDCD1FB" w14:textId="77777777" w:rsidR="002873A1" w:rsidRPr="002873A1" w:rsidRDefault="002873A1" w:rsidP="00673664">
      <w:pPr>
        <w:pStyle w:val="ListParagraph"/>
        <w:numPr>
          <w:ilvl w:val="1"/>
          <w:numId w:val="8"/>
        </w:numPr>
        <w:ind w:left="810" w:hanging="810"/>
        <w:rPr>
          <w:rFonts w:ascii="Arial" w:hAnsi="Arial" w:cs="Arial"/>
        </w:rPr>
      </w:pPr>
      <w:r>
        <w:rPr>
          <w:rFonts w:ascii="Arial" w:hAnsi="Arial" w:cs="Arial"/>
        </w:rPr>
        <w:t xml:space="preserve">The Local Audit &amp; Accountability Act 2014 removed the requirements </w:t>
      </w:r>
      <w:r w:rsidR="0064079D">
        <w:rPr>
          <w:rFonts w:ascii="Arial" w:hAnsi="Arial" w:cs="Arial"/>
        </w:rPr>
        <w:t xml:space="preserve">in respect of the </w:t>
      </w:r>
      <w:r>
        <w:rPr>
          <w:rFonts w:ascii="Arial" w:hAnsi="Arial" w:cs="Arial"/>
        </w:rPr>
        <w:t>external audit of joint committees</w:t>
      </w:r>
      <w:r w:rsidR="0064079D">
        <w:rPr>
          <w:rFonts w:ascii="Arial" w:hAnsi="Arial" w:cs="Arial"/>
        </w:rPr>
        <w:t xml:space="preserve"> and permitted other options.  The Members of the Shared Services Joint Committee took the decision for a light touch inspection to be undertaken by Internal Audit in order to provide assurance in respect of the integrity of the partnerships year-end financial statements.  This has been undertaken by Internal Audit for the year-end 2017/18.</w:t>
      </w:r>
      <w:r w:rsidRPr="002873A1">
        <w:rPr>
          <w:rFonts w:ascii="Arial" w:hAnsi="Arial" w:cs="Arial"/>
        </w:rPr>
        <w:br/>
      </w:r>
    </w:p>
    <w:p w14:paraId="6FDCD1FC" w14:textId="77777777" w:rsidR="00DD43EC" w:rsidRDefault="002873A1" w:rsidP="00673664">
      <w:pPr>
        <w:pStyle w:val="ListParagraph"/>
        <w:numPr>
          <w:ilvl w:val="1"/>
          <w:numId w:val="8"/>
        </w:numPr>
        <w:ind w:left="810" w:hanging="810"/>
        <w:rPr>
          <w:rFonts w:ascii="Arial" w:hAnsi="Arial" w:cs="Arial"/>
        </w:rPr>
      </w:pPr>
      <w:r>
        <w:rPr>
          <w:rFonts w:ascii="Arial" w:hAnsi="Arial" w:cs="Arial"/>
        </w:rPr>
        <w:t>T</w:t>
      </w:r>
      <w:r w:rsidR="007649B6" w:rsidRPr="00DD43EC">
        <w:rPr>
          <w:rFonts w:ascii="Arial" w:hAnsi="Arial" w:cs="Arial"/>
        </w:rPr>
        <w:t xml:space="preserve">he host authorities are individually subject to extensive external and internal audit processes, the main purpose of the Joint Committee’s light touch inspection is to ensure that the financial data contained within its accounts has been correctly extracted from those of the host authorities.  </w:t>
      </w:r>
    </w:p>
    <w:p w14:paraId="6FDCD1FD" w14:textId="77777777" w:rsidR="00DD43EC" w:rsidRPr="00DD43EC" w:rsidRDefault="00DD43EC" w:rsidP="00673664">
      <w:pPr>
        <w:pStyle w:val="ListParagraph"/>
        <w:ind w:left="810" w:hanging="810"/>
        <w:rPr>
          <w:rFonts w:ascii="Arial" w:hAnsi="Arial" w:cs="Arial"/>
        </w:rPr>
      </w:pPr>
    </w:p>
    <w:p w14:paraId="6FDCD1FE" w14:textId="77777777" w:rsidR="00525728" w:rsidRPr="00DD43EC" w:rsidRDefault="007649B6" w:rsidP="00673664">
      <w:pPr>
        <w:pStyle w:val="ListParagraph"/>
        <w:numPr>
          <w:ilvl w:val="1"/>
          <w:numId w:val="8"/>
        </w:numPr>
        <w:ind w:left="810" w:hanging="810"/>
        <w:rPr>
          <w:rFonts w:ascii="Arial" w:hAnsi="Arial" w:cs="Arial"/>
        </w:rPr>
      </w:pPr>
      <w:r w:rsidRPr="00DD43EC">
        <w:rPr>
          <w:rFonts w:ascii="Arial" w:hAnsi="Arial" w:cs="Arial"/>
        </w:rPr>
        <w:t>The opportunity was also taken to include additional checks on the calculation and       apportionment of costs (both budgeted and out-turn) between the 2 host authorities to ensure that they are in accordance with the agreed bases.</w:t>
      </w:r>
    </w:p>
    <w:p w14:paraId="6FDCD1FF" w14:textId="77777777" w:rsidR="007649B6" w:rsidRPr="007649B6" w:rsidRDefault="007649B6" w:rsidP="00673664">
      <w:pPr>
        <w:ind w:left="720" w:hanging="720"/>
        <w:rPr>
          <w:color w:val="2E74B5"/>
          <w:szCs w:val="22"/>
        </w:rPr>
      </w:pPr>
    </w:p>
    <w:p w14:paraId="6FDCD200" w14:textId="77777777" w:rsidR="00DD43EC" w:rsidRPr="00794473" w:rsidRDefault="00DD43EC" w:rsidP="00673664">
      <w:pPr>
        <w:numPr>
          <w:ilvl w:val="0"/>
          <w:numId w:val="8"/>
        </w:numPr>
        <w:ind w:left="720" w:hanging="720"/>
        <w:rPr>
          <w:b/>
          <w:szCs w:val="22"/>
        </w:rPr>
      </w:pPr>
      <w:r>
        <w:rPr>
          <w:b/>
          <w:szCs w:val="22"/>
        </w:rPr>
        <w:t xml:space="preserve">SHARED SERVICES ANNUAL STATEMENT </w:t>
      </w:r>
      <w:r w:rsidRPr="00794473">
        <w:rPr>
          <w:b/>
          <w:szCs w:val="22"/>
        </w:rPr>
        <w:t>2017/18</w:t>
      </w:r>
    </w:p>
    <w:p w14:paraId="6FDCD201" w14:textId="77777777" w:rsidR="002F5C5E" w:rsidRDefault="002F5C5E" w:rsidP="00673664">
      <w:pPr>
        <w:ind w:left="720" w:hanging="720"/>
        <w:rPr>
          <w:b/>
        </w:rPr>
      </w:pPr>
    </w:p>
    <w:p w14:paraId="6FDCD202" w14:textId="77777777" w:rsidR="006E2619" w:rsidRPr="0091603A" w:rsidRDefault="0064079D" w:rsidP="00673664">
      <w:pPr>
        <w:pStyle w:val="ListParagraph"/>
        <w:numPr>
          <w:ilvl w:val="1"/>
          <w:numId w:val="22"/>
        </w:numPr>
        <w:ind w:hanging="720"/>
        <w:rPr>
          <w:rFonts w:ascii="Arial" w:hAnsi="Arial" w:cs="Arial"/>
          <w:b/>
        </w:rPr>
      </w:pPr>
      <w:r>
        <w:rPr>
          <w:rFonts w:ascii="Arial" w:hAnsi="Arial" w:cs="Arial"/>
        </w:rPr>
        <w:t>Internal Audit</w:t>
      </w:r>
      <w:r w:rsidR="00090859">
        <w:rPr>
          <w:rFonts w:ascii="Arial" w:hAnsi="Arial" w:cs="Arial"/>
        </w:rPr>
        <w:t xml:space="preserve"> has </w:t>
      </w:r>
      <w:r>
        <w:rPr>
          <w:rFonts w:ascii="Arial" w:hAnsi="Arial" w:cs="Arial"/>
        </w:rPr>
        <w:t xml:space="preserve">formed an opinion as part of the review that, </w:t>
      </w:r>
      <w:r w:rsidR="006E2619" w:rsidRPr="00FF0801">
        <w:rPr>
          <w:rFonts w:ascii="Arial" w:hAnsi="Arial" w:cs="Arial"/>
        </w:rPr>
        <w:t xml:space="preserve">the information </w:t>
      </w:r>
      <w:r w:rsidR="00FF0801" w:rsidRPr="00FF0801">
        <w:rPr>
          <w:rFonts w:ascii="Arial" w:hAnsi="Arial" w:cs="Arial"/>
        </w:rPr>
        <w:t xml:space="preserve">extracted from the financial system had been correctly presented in the </w:t>
      </w:r>
      <w:r w:rsidR="006E2619" w:rsidRPr="00FF0801">
        <w:rPr>
          <w:rFonts w:ascii="Arial" w:hAnsi="Arial" w:cs="Arial"/>
        </w:rPr>
        <w:t>year-end financial statements</w:t>
      </w:r>
      <w:r w:rsidR="006E2619" w:rsidRPr="0091603A">
        <w:rPr>
          <w:rFonts w:ascii="Arial" w:hAnsi="Arial" w:cs="Arial"/>
        </w:rPr>
        <w:t xml:space="preserve"> </w:t>
      </w:r>
      <w:r>
        <w:rPr>
          <w:rFonts w:ascii="Arial" w:hAnsi="Arial" w:cs="Arial"/>
        </w:rPr>
        <w:t>for 2017/18</w:t>
      </w:r>
      <w:r w:rsidR="00090859">
        <w:rPr>
          <w:rFonts w:ascii="Arial" w:hAnsi="Arial" w:cs="Arial"/>
        </w:rPr>
        <w:t xml:space="preserve"> and that the processes in place provide </w:t>
      </w:r>
      <w:r w:rsidR="00090859">
        <w:rPr>
          <w:rFonts w:ascii="Arial" w:hAnsi="Arial" w:cs="Arial"/>
          <w:b/>
        </w:rPr>
        <w:t xml:space="preserve">Full </w:t>
      </w:r>
      <w:r w:rsidR="00090859">
        <w:rPr>
          <w:rFonts w:ascii="Arial" w:hAnsi="Arial" w:cs="Arial"/>
        </w:rPr>
        <w:t>Assurance in regard to the control environment</w:t>
      </w:r>
      <w:r>
        <w:rPr>
          <w:rFonts w:ascii="Arial" w:hAnsi="Arial" w:cs="Arial"/>
        </w:rPr>
        <w:t>.  Further</w:t>
      </w:r>
      <w:r w:rsidR="006101CF">
        <w:rPr>
          <w:rFonts w:ascii="Arial" w:hAnsi="Arial" w:cs="Arial"/>
        </w:rPr>
        <w:t xml:space="preserve">, </w:t>
      </w:r>
      <w:r w:rsidR="00090859">
        <w:rPr>
          <w:rFonts w:ascii="Arial" w:hAnsi="Arial" w:cs="Arial"/>
        </w:rPr>
        <w:t xml:space="preserve">it has been confirmed that </w:t>
      </w:r>
      <w:r w:rsidR="006E2619" w:rsidRPr="0091603A">
        <w:rPr>
          <w:rFonts w:ascii="Arial" w:hAnsi="Arial" w:cs="Arial"/>
        </w:rPr>
        <w:t>Shared Service partnership charges have been raised and apportioned appropriately.</w:t>
      </w:r>
    </w:p>
    <w:p w14:paraId="6FDCD203" w14:textId="77777777" w:rsidR="0091603A" w:rsidRPr="0091603A" w:rsidRDefault="0091603A" w:rsidP="00673664">
      <w:pPr>
        <w:pStyle w:val="ListParagraph"/>
        <w:ind w:hanging="720"/>
        <w:rPr>
          <w:rFonts w:ascii="Arial" w:hAnsi="Arial" w:cs="Arial"/>
          <w:b/>
        </w:rPr>
      </w:pPr>
    </w:p>
    <w:p w14:paraId="6FDCD204" w14:textId="77777777" w:rsidR="0064079D" w:rsidRPr="0064079D" w:rsidRDefault="0064079D" w:rsidP="00673664">
      <w:pPr>
        <w:pStyle w:val="ListParagraph"/>
        <w:numPr>
          <w:ilvl w:val="1"/>
          <w:numId w:val="22"/>
        </w:numPr>
        <w:tabs>
          <w:tab w:val="left" w:pos="720"/>
        </w:tabs>
        <w:ind w:left="1260" w:hanging="1260"/>
        <w:rPr>
          <w:rFonts w:ascii="Arial" w:hAnsi="Arial" w:cs="Arial"/>
        </w:rPr>
      </w:pPr>
      <w:r w:rsidRPr="0064079D">
        <w:rPr>
          <w:rFonts w:ascii="Arial" w:hAnsi="Arial" w:cs="Arial"/>
        </w:rPr>
        <w:t>It was identified from the testing that:-</w:t>
      </w:r>
      <w:r>
        <w:rPr>
          <w:rFonts w:ascii="Arial" w:hAnsi="Arial" w:cs="Arial"/>
        </w:rPr>
        <w:br/>
      </w:r>
    </w:p>
    <w:p w14:paraId="6FDCD205" w14:textId="77777777" w:rsidR="0064079D" w:rsidRDefault="0064079D" w:rsidP="00673664">
      <w:pPr>
        <w:pStyle w:val="ListParagraph"/>
        <w:numPr>
          <w:ilvl w:val="0"/>
          <w:numId w:val="25"/>
        </w:numPr>
        <w:ind w:left="1260" w:hanging="810"/>
        <w:rPr>
          <w:rFonts w:ascii="Arial" w:hAnsi="Arial" w:cs="Arial"/>
        </w:rPr>
      </w:pPr>
      <w:r w:rsidRPr="0064079D">
        <w:rPr>
          <w:rFonts w:ascii="Arial" w:hAnsi="Arial" w:cs="Arial"/>
        </w:rPr>
        <w:t xml:space="preserve">All charges were correctly stated </w:t>
      </w:r>
      <w:r>
        <w:rPr>
          <w:rFonts w:ascii="Arial" w:hAnsi="Arial" w:cs="Arial"/>
        </w:rPr>
        <w:t xml:space="preserve">within the 2017/18 joint committee annual statement </w:t>
      </w:r>
      <w:r w:rsidRPr="0064079D">
        <w:rPr>
          <w:rFonts w:ascii="Arial" w:hAnsi="Arial" w:cs="Arial"/>
        </w:rPr>
        <w:t xml:space="preserve">and </w:t>
      </w:r>
      <w:r>
        <w:rPr>
          <w:rFonts w:ascii="Arial" w:hAnsi="Arial" w:cs="Arial"/>
        </w:rPr>
        <w:t>variances fully explained;</w:t>
      </w:r>
    </w:p>
    <w:p w14:paraId="6FDCD206" w14:textId="77777777" w:rsidR="0064079D" w:rsidRDefault="0064079D" w:rsidP="00673664">
      <w:pPr>
        <w:pStyle w:val="ListParagraph"/>
        <w:numPr>
          <w:ilvl w:val="0"/>
          <w:numId w:val="25"/>
        </w:numPr>
        <w:ind w:left="1260" w:hanging="810"/>
        <w:rPr>
          <w:rFonts w:ascii="Arial" w:hAnsi="Arial" w:cs="Arial"/>
        </w:rPr>
      </w:pPr>
      <w:r>
        <w:rPr>
          <w:rFonts w:ascii="Arial" w:hAnsi="Arial" w:cs="Arial"/>
        </w:rPr>
        <w:t>Pension costs were verified and reflected the pension contribution and deficit recovery rates applicable to each Council;</w:t>
      </w:r>
    </w:p>
    <w:p w14:paraId="6FDCD207" w14:textId="77777777" w:rsidR="0064079D" w:rsidRDefault="0064079D" w:rsidP="00673664">
      <w:pPr>
        <w:pStyle w:val="ListParagraph"/>
        <w:numPr>
          <w:ilvl w:val="0"/>
          <w:numId w:val="25"/>
        </w:numPr>
        <w:ind w:left="1260" w:hanging="810"/>
        <w:rPr>
          <w:rFonts w:ascii="Arial" w:hAnsi="Arial" w:cs="Arial"/>
        </w:rPr>
      </w:pPr>
      <w:r>
        <w:rPr>
          <w:rFonts w:ascii="Arial" w:hAnsi="Arial" w:cs="Arial"/>
        </w:rPr>
        <w:t xml:space="preserve">Clear and concise recording of charges raised for each individual Council </w:t>
      </w:r>
      <w:r w:rsidR="00B7347E">
        <w:rPr>
          <w:rFonts w:ascii="Arial" w:hAnsi="Arial" w:cs="Arial"/>
        </w:rPr>
        <w:t>is undertaken and explanations for the allocation of each liability is recorded in the financial records.  Shared services charges have been allocated appropriately;</w:t>
      </w:r>
    </w:p>
    <w:p w14:paraId="6FDCD208" w14:textId="77777777" w:rsidR="00B7347E" w:rsidRDefault="00B7347E" w:rsidP="00673664">
      <w:pPr>
        <w:pStyle w:val="ListParagraph"/>
        <w:numPr>
          <w:ilvl w:val="0"/>
          <w:numId w:val="25"/>
        </w:numPr>
        <w:ind w:left="1260" w:hanging="810"/>
        <w:rPr>
          <w:rFonts w:ascii="Arial" w:hAnsi="Arial" w:cs="Arial"/>
        </w:rPr>
      </w:pPr>
      <w:r>
        <w:rPr>
          <w:rFonts w:ascii="Arial" w:hAnsi="Arial" w:cs="Arial"/>
        </w:rPr>
        <w:t>Individual costs incurred for items or services that are used solely for one Council are recharged as appropriate;</w:t>
      </w:r>
    </w:p>
    <w:p w14:paraId="6FDCD209" w14:textId="77777777" w:rsidR="00B7347E" w:rsidRDefault="00B7347E" w:rsidP="00673664">
      <w:pPr>
        <w:pStyle w:val="ListParagraph"/>
        <w:numPr>
          <w:ilvl w:val="0"/>
          <w:numId w:val="25"/>
        </w:numPr>
        <w:ind w:left="1260" w:hanging="810"/>
        <w:rPr>
          <w:rFonts w:ascii="Arial" w:hAnsi="Arial" w:cs="Arial"/>
        </w:rPr>
      </w:pPr>
      <w:r>
        <w:rPr>
          <w:rFonts w:ascii="Arial" w:hAnsi="Arial" w:cs="Arial"/>
        </w:rPr>
        <w:t>The charges payable by each Council have been raised accurately on Authority Web;</w:t>
      </w:r>
    </w:p>
    <w:p w14:paraId="6FDCD20A" w14:textId="77777777" w:rsidR="00B7347E" w:rsidRDefault="00B7347E" w:rsidP="00673664">
      <w:pPr>
        <w:pStyle w:val="ListParagraph"/>
        <w:numPr>
          <w:ilvl w:val="0"/>
          <w:numId w:val="25"/>
        </w:numPr>
        <w:ind w:left="1260" w:hanging="810"/>
        <w:rPr>
          <w:rFonts w:ascii="Arial" w:hAnsi="Arial" w:cs="Arial"/>
        </w:rPr>
      </w:pPr>
      <w:r>
        <w:rPr>
          <w:rFonts w:ascii="Arial" w:hAnsi="Arial" w:cs="Arial"/>
        </w:rPr>
        <w:t xml:space="preserve">The Shared Services Partnership gross expenditure of £1.58m was reported accurately </w:t>
      </w:r>
      <w:r w:rsidR="00090859">
        <w:rPr>
          <w:rFonts w:ascii="Arial" w:hAnsi="Arial" w:cs="Arial"/>
        </w:rPr>
        <w:t>in the 2017/18 Statement of Accounts</w:t>
      </w:r>
      <w:r w:rsidR="006101CF">
        <w:rPr>
          <w:rFonts w:ascii="Arial" w:hAnsi="Arial" w:cs="Arial"/>
        </w:rPr>
        <w:t>;</w:t>
      </w:r>
    </w:p>
    <w:p w14:paraId="6FDCD20B" w14:textId="77777777" w:rsidR="006101CF" w:rsidRDefault="006101CF" w:rsidP="00673664">
      <w:pPr>
        <w:pStyle w:val="ListParagraph"/>
        <w:numPr>
          <w:ilvl w:val="0"/>
          <w:numId w:val="25"/>
        </w:numPr>
        <w:ind w:left="1260" w:hanging="810"/>
        <w:rPr>
          <w:rFonts w:ascii="Arial" w:hAnsi="Arial" w:cs="Arial"/>
        </w:rPr>
      </w:pPr>
      <w:r>
        <w:rPr>
          <w:rFonts w:ascii="Arial" w:hAnsi="Arial" w:cs="Arial"/>
        </w:rPr>
        <w:t>Shared Services charges are raised per the agreed 50/50 split;</w:t>
      </w:r>
    </w:p>
    <w:p w14:paraId="6FDCD20C" w14:textId="77777777" w:rsidR="006101CF" w:rsidRPr="0064079D" w:rsidRDefault="006101CF" w:rsidP="00673664">
      <w:pPr>
        <w:pStyle w:val="ListParagraph"/>
        <w:numPr>
          <w:ilvl w:val="0"/>
          <w:numId w:val="25"/>
        </w:numPr>
        <w:ind w:left="1260" w:hanging="810"/>
        <w:rPr>
          <w:rFonts w:ascii="Arial" w:hAnsi="Arial" w:cs="Arial"/>
        </w:rPr>
      </w:pPr>
      <w:r>
        <w:rPr>
          <w:rFonts w:ascii="Arial" w:hAnsi="Arial" w:cs="Arial"/>
        </w:rPr>
        <w:t>Management Accountancy employee costs are charged reflective of the different structures at each Council</w:t>
      </w:r>
    </w:p>
    <w:p w14:paraId="6FDCD20D" w14:textId="77777777" w:rsidR="00883246" w:rsidRPr="00B7347E" w:rsidRDefault="00883246" w:rsidP="00673664">
      <w:pPr>
        <w:ind w:left="720" w:hanging="720"/>
        <w:rPr>
          <w:rFonts w:cs="Arial"/>
        </w:rPr>
      </w:pPr>
    </w:p>
    <w:p w14:paraId="6FDCD20E" w14:textId="77777777" w:rsidR="00883246" w:rsidRPr="00883246" w:rsidRDefault="00883246" w:rsidP="00673664">
      <w:pPr>
        <w:pStyle w:val="ListParagraph"/>
        <w:ind w:hanging="720"/>
        <w:rPr>
          <w:rFonts w:ascii="Arial" w:hAnsi="Arial" w:cs="Arial"/>
        </w:rPr>
      </w:pPr>
    </w:p>
    <w:p w14:paraId="6FDCD20F" w14:textId="77777777" w:rsidR="006E2619" w:rsidRDefault="006E2619" w:rsidP="00673664">
      <w:pPr>
        <w:pStyle w:val="ListParagraph"/>
        <w:numPr>
          <w:ilvl w:val="1"/>
          <w:numId w:val="22"/>
        </w:numPr>
        <w:ind w:hanging="720"/>
        <w:rPr>
          <w:rFonts w:ascii="Arial" w:hAnsi="Arial" w:cs="Arial"/>
        </w:rPr>
      </w:pPr>
      <w:r w:rsidRPr="00883246">
        <w:rPr>
          <w:rFonts w:ascii="Arial" w:hAnsi="Arial" w:cs="Arial"/>
        </w:rPr>
        <w:t xml:space="preserve">The Shared </w:t>
      </w:r>
      <w:r w:rsidR="00883246" w:rsidRPr="00883246">
        <w:rPr>
          <w:rFonts w:ascii="Arial" w:hAnsi="Arial" w:cs="Arial"/>
        </w:rPr>
        <w:t>Services partnership’s</w:t>
      </w:r>
      <w:r w:rsidRPr="00883246">
        <w:rPr>
          <w:rFonts w:ascii="Arial" w:hAnsi="Arial" w:cs="Arial"/>
        </w:rPr>
        <w:t xml:space="preserve"> gross expenditure of £1.58m was reported accurately in the 2017/18 Statement of Accounts</w:t>
      </w:r>
    </w:p>
    <w:p w14:paraId="6FDCD210" w14:textId="77777777" w:rsidR="00F43895" w:rsidRDefault="00F43895" w:rsidP="002F5C5E">
      <w:pPr>
        <w:rPr>
          <w:rFonts w:cs="Arial"/>
          <w:i/>
          <w:color w:val="2E74B5"/>
        </w:rPr>
      </w:pPr>
    </w:p>
    <w:p w14:paraId="6FDCD211" w14:textId="77777777" w:rsidR="00090859" w:rsidRDefault="00090859" w:rsidP="002F5C5E">
      <w:pPr>
        <w:rPr>
          <w:rFonts w:cs="Arial"/>
          <w:color w:val="2E74B5"/>
        </w:rPr>
      </w:pPr>
    </w:p>
    <w:p w14:paraId="6FDCD212" w14:textId="77777777" w:rsidR="00090859" w:rsidRPr="00090859" w:rsidRDefault="00090859" w:rsidP="002F5C5E">
      <w:pPr>
        <w:rPr>
          <w:rFonts w:cs="Arial"/>
          <w:color w:val="2E74B5"/>
        </w:rPr>
      </w:pPr>
    </w:p>
    <w:p w14:paraId="6FDCD213" w14:textId="77777777" w:rsidR="00F43895" w:rsidRPr="00792A2B" w:rsidRDefault="00F43895" w:rsidP="00F43895">
      <w:pPr>
        <w:rPr>
          <w:b/>
          <w:szCs w:val="22"/>
        </w:rPr>
      </w:pPr>
      <w:r w:rsidRPr="00792A2B">
        <w:rPr>
          <w:b/>
          <w:szCs w:val="22"/>
        </w:rPr>
        <w:lastRenderedPageBreak/>
        <w:t xml:space="preserve">8.    </w:t>
      </w:r>
      <w:r w:rsidR="00D263EF">
        <w:rPr>
          <w:b/>
          <w:szCs w:val="22"/>
        </w:rPr>
        <w:tab/>
      </w:r>
      <w:r w:rsidRPr="00792A2B">
        <w:rPr>
          <w:rFonts w:cs="Arial"/>
          <w:b/>
          <w:caps/>
        </w:rPr>
        <w:t>Financial implications</w:t>
      </w:r>
    </w:p>
    <w:p w14:paraId="6FDCD214" w14:textId="77777777" w:rsidR="00F43895" w:rsidRPr="00792A2B" w:rsidRDefault="00F43895" w:rsidP="00F43895">
      <w:pPr>
        <w:ind w:left="567"/>
        <w:rPr>
          <w:rFonts w:cs="Arial"/>
          <w:b/>
          <w:caps/>
        </w:rPr>
      </w:pPr>
    </w:p>
    <w:p w14:paraId="6FDCD215" w14:textId="77777777" w:rsidR="00F43895" w:rsidRPr="00090859" w:rsidRDefault="00090859" w:rsidP="00D263EF">
      <w:pPr>
        <w:numPr>
          <w:ilvl w:val="1"/>
          <w:numId w:val="12"/>
        </w:numPr>
        <w:ind w:left="720" w:hanging="720"/>
        <w:rPr>
          <w:rFonts w:cs="Arial"/>
          <w:caps/>
          <w:color w:val="2E74B5"/>
        </w:rPr>
      </w:pPr>
      <w:r>
        <w:rPr>
          <w:rFonts w:cs="Arial"/>
        </w:rPr>
        <w:t>There are no financial implications arising from this report.</w:t>
      </w:r>
    </w:p>
    <w:p w14:paraId="6FDCD216" w14:textId="77777777" w:rsidR="00F43895" w:rsidRPr="00792A2B" w:rsidRDefault="00F43895" w:rsidP="00F43895">
      <w:pPr>
        <w:rPr>
          <w:rFonts w:cs="Arial"/>
          <w:b/>
          <w:color w:val="2E74B5"/>
        </w:rPr>
      </w:pPr>
    </w:p>
    <w:p w14:paraId="6FDCD217" w14:textId="77777777" w:rsidR="00F43895" w:rsidRPr="00792A2B" w:rsidRDefault="00F43895" w:rsidP="00F43895">
      <w:pPr>
        <w:rPr>
          <w:rFonts w:cs="Arial"/>
          <w:b/>
          <w:caps/>
        </w:rPr>
      </w:pPr>
      <w:r w:rsidRPr="00792A2B">
        <w:rPr>
          <w:rFonts w:cs="Arial"/>
          <w:b/>
          <w:caps/>
        </w:rPr>
        <w:t xml:space="preserve">9.    </w:t>
      </w:r>
      <w:r w:rsidR="00D263EF">
        <w:rPr>
          <w:rFonts w:cs="Arial"/>
          <w:b/>
          <w:caps/>
        </w:rPr>
        <w:tab/>
      </w:r>
      <w:r w:rsidRPr="00792A2B">
        <w:rPr>
          <w:rFonts w:cs="Arial"/>
          <w:b/>
          <w:caps/>
        </w:rPr>
        <w:t>LEGAL IMPLICATIONS</w:t>
      </w:r>
    </w:p>
    <w:p w14:paraId="6FDCD218" w14:textId="77777777" w:rsidR="00F43895" w:rsidRPr="00792A2B" w:rsidRDefault="00F43895" w:rsidP="00F43895">
      <w:pPr>
        <w:rPr>
          <w:rFonts w:cs="Arial"/>
          <w:b/>
          <w:caps/>
        </w:rPr>
      </w:pPr>
    </w:p>
    <w:p w14:paraId="6FDCD219" w14:textId="77777777" w:rsidR="00F43895" w:rsidRPr="00090859" w:rsidRDefault="00090859" w:rsidP="00D263EF">
      <w:pPr>
        <w:numPr>
          <w:ilvl w:val="1"/>
          <w:numId w:val="13"/>
        </w:numPr>
        <w:tabs>
          <w:tab w:val="left" w:pos="720"/>
        </w:tabs>
        <w:ind w:left="630" w:hanging="630"/>
        <w:rPr>
          <w:rFonts w:cs="Arial"/>
          <w:caps/>
          <w:color w:val="2E74B5"/>
        </w:rPr>
      </w:pPr>
      <w:r>
        <w:rPr>
          <w:rFonts w:cs="Arial"/>
        </w:rPr>
        <w:t xml:space="preserve">The </w:t>
      </w:r>
      <w:r w:rsidR="00D263EF">
        <w:rPr>
          <w:rFonts w:cs="Arial"/>
        </w:rPr>
        <w:t>approach agreed to by the Shared Services Joint Committee is compliant with the Local Audit &amp; Accountability Act 2014, in that it removed the requirement for an external inspection and provided for other options.  This internal inspection complies with those other options requirements.</w:t>
      </w:r>
    </w:p>
    <w:p w14:paraId="6FDCD21A" w14:textId="77777777" w:rsidR="00F43895" w:rsidRPr="00792A2B" w:rsidRDefault="00F43895" w:rsidP="00F43895">
      <w:pPr>
        <w:rPr>
          <w:rFonts w:cs="Arial"/>
          <w:b/>
          <w:caps/>
        </w:rPr>
      </w:pPr>
    </w:p>
    <w:p w14:paraId="6FDCD21B" w14:textId="77777777" w:rsidR="00F43895" w:rsidRPr="00792A2B" w:rsidRDefault="00F43895" w:rsidP="00F43895">
      <w:pPr>
        <w:rPr>
          <w:rFonts w:cs="Arial"/>
          <w:b/>
        </w:rPr>
      </w:pPr>
      <w:r w:rsidRPr="00792A2B">
        <w:rPr>
          <w:rFonts w:cs="Arial"/>
          <w:b/>
        </w:rPr>
        <w:t xml:space="preserve">10.  </w:t>
      </w:r>
      <w:r w:rsidR="00D263EF">
        <w:rPr>
          <w:rFonts w:cs="Arial"/>
          <w:b/>
        </w:rPr>
        <w:tab/>
      </w:r>
      <w:r w:rsidRPr="00792A2B">
        <w:rPr>
          <w:rFonts w:cs="Arial"/>
          <w:b/>
        </w:rPr>
        <w:t>COMMENTS OF THE STATUTORY FINANCE OFFICER</w:t>
      </w:r>
    </w:p>
    <w:p w14:paraId="6FDCD21C" w14:textId="77777777" w:rsidR="00BE2A3F" w:rsidRPr="00792A2B" w:rsidRDefault="00BE2A3F" w:rsidP="00F43895">
      <w:pPr>
        <w:rPr>
          <w:rFonts w:cs="Arial"/>
          <w:b/>
        </w:rPr>
      </w:pPr>
    </w:p>
    <w:p w14:paraId="6FDCD21D" w14:textId="77777777" w:rsidR="00BE2A3F" w:rsidRDefault="00BE2A3F" w:rsidP="00D263EF">
      <w:pPr>
        <w:ind w:left="630" w:hanging="630"/>
        <w:rPr>
          <w:rFonts w:cs="Arial"/>
        </w:rPr>
      </w:pPr>
      <w:r w:rsidRPr="00792A2B">
        <w:rPr>
          <w:rFonts w:cs="Arial"/>
        </w:rPr>
        <w:t xml:space="preserve">10.1   </w:t>
      </w:r>
      <w:r w:rsidR="008F5E5E">
        <w:rPr>
          <w:rFonts w:cs="Arial"/>
        </w:rPr>
        <w:t>The Internal Audit review provides assurance the Section 151 officer that costs associated with the Shared Service agreement are appropriately apportioned between the two organisations.</w:t>
      </w:r>
    </w:p>
    <w:p w14:paraId="6FDCD21E" w14:textId="77777777" w:rsidR="008F5E5E" w:rsidRDefault="008F5E5E" w:rsidP="00D263EF">
      <w:pPr>
        <w:ind w:left="630" w:hanging="630"/>
        <w:rPr>
          <w:rFonts w:cs="Arial"/>
        </w:rPr>
      </w:pPr>
    </w:p>
    <w:p w14:paraId="6FDCD21F" w14:textId="77777777" w:rsidR="008F5E5E" w:rsidRPr="00792A2B" w:rsidRDefault="008F5E5E" w:rsidP="00D263EF">
      <w:pPr>
        <w:ind w:left="630" w:hanging="630"/>
        <w:rPr>
          <w:rFonts w:cs="Arial"/>
        </w:rPr>
      </w:pPr>
      <w:r>
        <w:rPr>
          <w:rFonts w:cs="Arial"/>
        </w:rPr>
        <w:t>10.2</w:t>
      </w:r>
      <w:r>
        <w:rPr>
          <w:rFonts w:cs="Arial"/>
        </w:rPr>
        <w:tab/>
        <w:t>The Council continue to review the operation of shared services resources to maximise future efficiencies.</w:t>
      </w:r>
    </w:p>
    <w:p w14:paraId="6FDCD220" w14:textId="77777777" w:rsidR="00F43895" w:rsidRPr="00792A2B" w:rsidRDefault="00F43895" w:rsidP="00F43895">
      <w:pPr>
        <w:rPr>
          <w:rFonts w:cs="Arial"/>
          <w:b/>
          <w:i/>
        </w:rPr>
      </w:pPr>
    </w:p>
    <w:p w14:paraId="6FDCD221" w14:textId="77777777" w:rsidR="00F43895" w:rsidRPr="00792A2B" w:rsidRDefault="00BE2A3F" w:rsidP="00BE2A3F">
      <w:pPr>
        <w:rPr>
          <w:rFonts w:cs="Arial"/>
          <w:b/>
        </w:rPr>
      </w:pPr>
      <w:r w:rsidRPr="00792A2B">
        <w:rPr>
          <w:rFonts w:cs="Arial"/>
          <w:b/>
        </w:rPr>
        <w:t xml:space="preserve">11.  </w:t>
      </w:r>
      <w:r w:rsidR="00D263EF">
        <w:rPr>
          <w:rFonts w:cs="Arial"/>
          <w:b/>
        </w:rPr>
        <w:tab/>
      </w:r>
      <w:r w:rsidR="00F43895" w:rsidRPr="00792A2B">
        <w:rPr>
          <w:rFonts w:cs="Arial"/>
          <w:b/>
        </w:rPr>
        <w:t>COMMENTS OF THE MONITORING OFFICER</w:t>
      </w:r>
    </w:p>
    <w:p w14:paraId="6FDCD222" w14:textId="77777777" w:rsidR="00F43895" w:rsidRPr="00792A2B" w:rsidRDefault="00F43895" w:rsidP="00F43895">
      <w:pPr>
        <w:ind w:left="567"/>
        <w:rPr>
          <w:rFonts w:cs="Arial"/>
          <w:b/>
        </w:rPr>
      </w:pPr>
    </w:p>
    <w:p w14:paraId="6FDCD223" w14:textId="77777777" w:rsidR="00F43895" w:rsidRPr="00DA6FF8" w:rsidRDefault="00DA6FF8" w:rsidP="00D263EF">
      <w:pPr>
        <w:numPr>
          <w:ilvl w:val="1"/>
          <w:numId w:val="15"/>
        </w:numPr>
        <w:ind w:left="810" w:hanging="810"/>
        <w:rPr>
          <w:rFonts w:cs="Arial"/>
        </w:rPr>
      </w:pPr>
      <w:r w:rsidRPr="00DA6FF8">
        <w:rPr>
          <w:rFonts w:cs="Arial"/>
        </w:rPr>
        <w:t>The purpose of the report is to provide members with assurance with regard to the integrity of the year end financial statements for Shared Services. There are no concerns from a Monitoring Officer perspective.</w:t>
      </w:r>
    </w:p>
    <w:p w14:paraId="6FDCD224" w14:textId="77777777" w:rsidR="002F5C5E" w:rsidRPr="00792A2B" w:rsidRDefault="002F5C5E" w:rsidP="002F5C5E">
      <w:pPr>
        <w:rPr>
          <w:b/>
          <w:strike/>
          <w:szCs w:val="22"/>
        </w:rPr>
      </w:pPr>
    </w:p>
    <w:p w14:paraId="6FDCD225" w14:textId="77777777" w:rsidR="000B5251" w:rsidRPr="00792A2B" w:rsidRDefault="000B5251" w:rsidP="000B5251">
      <w:pPr>
        <w:rPr>
          <w:b/>
          <w:szCs w:val="22"/>
        </w:rPr>
      </w:pPr>
      <w:r w:rsidRPr="00792A2B">
        <w:rPr>
          <w:b/>
          <w:szCs w:val="22"/>
        </w:rPr>
        <w:t xml:space="preserve">12. OTHER IMPLICATIONS: </w:t>
      </w:r>
    </w:p>
    <w:p w14:paraId="6FDCD226" w14:textId="77777777"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14:paraId="6FDCD22C" w14:textId="77777777" w:rsidTr="009C1143">
        <w:trPr>
          <w:trHeight w:val="334"/>
        </w:trPr>
        <w:tc>
          <w:tcPr>
            <w:tcW w:w="3544" w:type="dxa"/>
            <w:shd w:val="clear" w:color="auto" w:fill="auto"/>
          </w:tcPr>
          <w:p w14:paraId="6FDCD227" w14:textId="77777777" w:rsidR="002F5C5E" w:rsidRPr="00792A2B" w:rsidRDefault="002F5C5E" w:rsidP="00AC4A99">
            <w:pPr>
              <w:rPr>
                <w:b/>
                <w:szCs w:val="22"/>
              </w:rPr>
            </w:pPr>
          </w:p>
          <w:p w14:paraId="6FDCD228" w14:textId="77777777" w:rsidR="002F5C5E" w:rsidRPr="00792A2B" w:rsidRDefault="00A56681" w:rsidP="00D263EF">
            <w:pPr>
              <w:numPr>
                <w:ilvl w:val="0"/>
                <w:numId w:val="11"/>
              </w:numPr>
              <w:ind w:left="360"/>
              <w:rPr>
                <w:szCs w:val="22"/>
              </w:rPr>
            </w:pPr>
            <w:r w:rsidRPr="00792A2B">
              <w:rPr>
                <w:b/>
                <w:szCs w:val="22"/>
              </w:rPr>
              <w:t xml:space="preserve">Risk </w:t>
            </w:r>
          </w:p>
        </w:tc>
        <w:tc>
          <w:tcPr>
            <w:tcW w:w="6379" w:type="dxa"/>
            <w:shd w:val="clear" w:color="auto" w:fill="auto"/>
          </w:tcPr>
          <w:p w14:paraId="6FDCD229" w14:textId="77777777" w:rsidR="00F43895" w:rsidRDefault="00F43895" w:rsidP="00D263EF">
            <w:pPr>
              <w:rPr>
                <w:i/>
                <w:color w:val="2E74B5" w:themeColor="accent1" w:themeShade="BF"/>
                <w:szCs w:val="22"/>
              </w:rPr>
            </w:pPr>
          </w:p>
          <w:p w14:paraId="6FDCD22A" w14:textId="77777777" w:rsidR="00D263EF" w:rsidRDefault="00D263EF" w:rsidP="00D263EF">
            <w:pPr>
              <w:rPr>
                <w:szCs w:val="22"/>
              </w:rPr>
            </w:pPr>
            <w:r>
              <w:rPr>
                <w:szCs w:val="22"/>
              </w:rPr>
              <w:t>The independent review of the financial accounts ensures that risks in regard to the integrity of the financial statement, appropriateness of the apportionment of charges and recharges are mitigated and protects the Council from risk of financial, legislative and reputational harm should the accounts not be inspected.</w:t>
            </w:r>
          </w:p>
          <w:p w14:paraId="6FDCD22B" w14:textId="77777777" w:rsidR="00D263EF" w:rsidRPr="00D263EF" w:rsidRDefault="00D263EF" w:rsidP="00D263EF">
            <w:pPr>
              <w:rPr>
                <w:szCs w:val="22"/>
              </w:rPr>
            </w:pPr>
          </w:p>
        </w:tc>
      </w:tr>
    </w:tbl>
    <w:p w14:paraId="6FDCD22D" w14:textId="77777777" w:rsidR="0003441A" w:rsidRDefault="0003441A" w:rsidP="002F5C5E">
      <w:pPr>
        <w:rPr>
          <w:b/>
          <w:szCs w:val="22"/>
        </w:rPr>
      </w:pPr>
    </w:p>
    <w:p w14:paraId="6FDCD22E" w14:textId="77777777" w:rsidR="002F5C5E" w:rsidRDefault="000B5251" w:rsidP="002F5C5E">
      <w:pPr>
        <w:rPr>
          <w:b/>
          <w:szCs w:val="22"/>
        </w:rPr>
      </w:pPr>
      <w:r>
        <w:rPr>
          <w:b/>
          <w:szCs w:val="22"/>
        </w:rPr>
        <w:t>13. BACKGROUND DOCUMENTS (or T</w:t>
      </w:r>
      <w:r w:rsidR="002F5C5E" w:rsidRPr="009C1143">
        <w:rPr>
          <w:b/>
          <w:szCs w:val="22"/>
        </w:rPr>
        <w:t>here are no background papers to this report)</w:t>
      </w:r>
    </w:p>
    <w:p w14:paraId="6FDCD22F" w14:textId="77777777" w:rsidR="000B5251" w:rsidRPr="009C1143" w:rsidRDefault="000B5251" w:rsidP="002F5C5E">
      <w:pPr>
        <w:rPr>
          <w:szCs w:val="22"/>
        </w:rPr>
      </w:pPr>
    </w:p>
    <w:p w14:paraId="6FDCD230" w14:textId="77777777" w:rsidR="0003441A" w:rsidRDefault="0003441A" w:rsidP="0003441A">
      <w:r>
        <w:t xml:space="preserve">Local Audit &amp; Accountability Act 2014 </w:t>
      </w:r>
    </w:p>
    <w:p w14:paraId="6FDCD231" w14:textId="77777777" w:rsidR="000B5251" w:rsidRDefault="000B5251" w:rsidP="000B5251">
      <w:pPr>
        <w:rPr>
          <w:i/>
          <w:color w:val="0070C0"/>
          <w:szCs w:val="22"/>
        </w:rPr>
      </w:pPr>
    </w:p>
    <w:p w14:paraId="6FDCD232" w14:textId="77777777" w:rsidR="000B5251" w:rsidRDefault="00156E1F" w:rsidP="000B5251">
      <w:pPr>
        <w:rPr>
          <w:b/>
        </w:rPr>
      </w:pPr>
      <w:r>
        <w:rPr>
          <w:b/>
        </w:rPr>
        <w:t xml:space="preserve">14. APPENDICES </w:t>
      </w:r>
    </w:p>
    <w:p w14:paraId="6FDCD233" w14:textId="77777777" w:rsidR="000B5251" w:rsidRPr="000B5251" w:rsidRDefault="000B5251" w:rsidP="00090859">
      <w:pPr>
        <w:ind w:left="720" w:hanging="720"/>
        <w:jc w:val="right"/>
        <w:rPr>
          <w:rFonts w:cs="Arial"/>
          <w:i/>
          <w:color w:val="2E74B5"/>
        </w:rPr>
      </w:pPr>
    </w:p>
    <w:p w14:paraId="6FDCD234" w14:textId="77777777" w:rsidR="000B5251" w:rsidRPr="00883246" w:rsidRDefault="000B5251" w:rsidP="000B5251">
      <w:pPr>
        <w:ind w:left="720" w:hanging="720"/>
      </w:pPr>
      <w:r w:rsidRPr="00883246">
        <w:t>Appendix A</w:t>
      </w:r>
    </w:p>
    <w:p w14:paraId="6FDCD235" w14:textId="77777777" w:rsidR="000B5251" w:rsidRPr="000B5251" w:rsidRDefault="000B5251" w:rsidP="000B5251">
      <w:pPr>
        <w:ind w:left="720" w:hanging="720"/>
        <w:rPr>
          <w:rFonts w:cs="Arial"/>
          <w:i/>
          <w:color w:val="2E74B5"/>
        </w:rPr>
      </w:pPr>
    </w:p>
    <w:p w14:paraId="6FDCD236" w14:textId="77777777"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1C5E49" w14:paraId="6FDCD23A" w14:textId="77777777" w:rsidTr="00E2196F">
        <w:tc>
          <w:tcPr>
            <w:tcW w:w="5700" w:type="dxa"/>
            <w:shd w:val="clear" w:color="auto" w:fill="auto"/>
          </w:tcPr>
          <w:p w14:paraId="6FDCD237" w14:textId="77777777" w:rsidR="001C5E49" w:rsidRPr="0031059E" w:rsidRDefault="001C5E49" w:rsidP="00E2196F">
            <w:pPr>
              <w:rPr>
                <w:rFonts w:cs="Arial"/>
              </w:rPr>
            </w:pPr>
            <w:r w:rsidRPr="0031059E">
              <w:rPr>
                <w:rFonts w:cs="Arial"/>
              </w:rPr>
              <w:t>Report Author:</w:t>
            </w:r>
          </w:p>
        </w:tc>
        <w:tc>
          <w:tcPr>
            <w:tcW w:w="1559" w:type="dxa"/>
            <w:shd w:val="clear" w:color="auto" w:fill="auto"/>
          </w:tcPr>
          <w:p w14:paraId="6FDCD238" w14:textId="77777777" w:rsidR="001C5E49" w:rsidRPr="0031059E" w:rsidRDefault="001C5E49" w:rsidP="00E2196F">
            <w:pPr>
              <w:rPr>
                <w:rFonts w:cs="Arial"/>
              </w:rPr>
            </w:pPr>
            <w:r w:rsidRPr="0031059E">
              <w:rPr>
                <w:rFonts w:cs="Arial"/>
              </w:rPr>
              <w:t>Telephone:</w:t>
            </w:r>
          </w:p>
        </w:tc>
        <w:tc>
          <w:tcPr>
            <w:tcW w:w="2380" w:type="dxa"/>
            <w:shd w:val="clear" w:color="auto" w:fill="auto"/>
          </w:tcPr>
          <w:p w14:paraId="6FDCD239" w14:textId="77777777" w:rsidR="001C5E49" w:rsidRPr="0031059E" w:rsidRDefault="001C5E49" w:rsidP="00E2196F">
            <w:pPr>
              <w:rPr>
                <w:rFonts w:cs="Arial"/>
              </w:rPr>
            </w:pPr>
            <w:r w:rsidRPr="0031059E">
              <w:rPr>
                <w:rFonts w:cs="Arial"/>
              </w:rPr>
              <w:t>Date:</w:t>
            </w:r>
          </w:p>
        </w:tc>
      </w:tr>
      <w:tr w:rsidR="00C903AC" w14:paraId="6FDCD23F" w14:textId="77777777" w:rsidTr="00E2196F">
        <w:tc>
          <w:tcPr>
            <w:tcW w:w="5700" w:type="dxa"/>
            <w:shd w:val="clear" w:color="auto" w:fill="auto"/>
          </w:tcPr>
          <w:p w14:paraId="6FDCD23B" w14:textId="77777777" w:rsidR="009410CF" w:rsidRPr="009410CF" w:rsidRDefault="009410CF" w:rsidP="00C903AC">
            <w:pPr>
              <w:rPr>
                <w:rFonts w:cs="Arial"/>
                <w:i/>
              </w:rPr>
            </w:pPr>
            <w:r w:rsidRPr="009410CF">
              <w:rPr>
                <w:rFonts w:cs="Arial"/>
                <w:i/>
              </w:rPr>
              <w:t>Janice Bamber</w:t>
            </w:r>
          </w:p>
          <w:p w14:paraId="6FDCD23C" w14:textId="77777777" w:rsidR="00C903AC" w:rsidRPr="0031059E" w:rsidRDefault="009410CF" w:rsidP="00C903AC">
            <w:pPr>
              <w:ind w:left="-539" w:firstLine="539"/>
              <w:rPr>
                <w:rFonts w:cs="Arial"/>
              </w:rPr>
            </w:pPr>
            <w:r w:rsidRPr="007649B6">
              <w:t>Interim Head of Audit &amp; Risk</w:t>
            </w:r>
            <w:r w:rsidRPr="0031059E">
              <w:rPr>
                <w:rFonts w:cs="Arial"/>
              </w:rPr>
              <w:t xml:space="preserve"> </w:t>
            </w:r>
          </w:p>
        </w:tc>
        <w:tc>
          <w:tcPr>
            <w:tcW w:w="1559" w:type="dxa"/>
            <w:shd w:val="clear" w:color="auto" w:fill="auto"/>
          </w:tcPr>
          <w:p w14:paraId="6FDCD23D" w14:textId="77777777" w:rsidR="00C903AC" w:rsidRPr="0031059E" w:rsidRDefault="00C903AC" w:rsidP="009410CF">
            <w:pPr>
              <w:rPr>
                <w:rFonts w:cs="Arial"/>
              </w:rPr>
            </w:pPr>
            <w:r>
              <w:rPr>
                <w:rFonts w:cs="Arial"/>
              </w:rPr>
              <w:t>01772 62</w:t>
            </w:r>
            <w:r w:rsidR="009410CF">
              <w:rPr>
                <w:rFonts w:cs="Arial"/>
              </w:rPr>
              <w:t>5272</w:t>
            </w:r>
          </w:p>
        </w:tc>
        <w:tc>
          <w:tcPr>
            <w:tcW w:w="2380" w:type="dxa"/>
            <w:shd w:val="clear" w:color="auto" w:fill="auto"/>
          </w:tcPr>
          <w:p w14:paraId="6FDCD23E" w14:textId="77777777" w:rsidR="00C903AC" w:rsidRPr="0031059E" w:rsidRDefault="00090859" w:rsidP="00C903AC">
            <w:pPr>
              <w:rPr>
                <w:rFonts w:cs="Arial"/>
              </w:rPr>
            </w:pPr>
            <w:r>
              <w:rPr>
                <w:rFonts w:cs="Arial"/>
              </w:rPr>
              <w:t xml:space="preserve">   31/01/2019</w:t>
            </w:r>
          </w:p>
        </w:tc>
      </w:tr>
    </w:tbl>
    <w:p w14:paraId="6FDCD240" w14:textId="77777777" w:rsidR="009410CF" w:rsidRDefault="009410CF" w:rsidP="0003441A">
      <w:pPr>
        <w:tabs>
          <w:tab w:val="left" w:pos="2839"/>
        </w:tabs>
        <w:ind w:left="720"/>
        <w:jc w:val="center"/>
        <w:rPr>
          <w:szCs w:val="22"/>
        </w:rPr>
      </w:pPr>
    </w:p>
    <w:p w14:paraId="6FDCD241" w14:textId="77777777" w:rsidR="009410CF" w:rsidRDefault="009410CF" w:rsidP="0003441A">
      <w:pPr>
        <w:tabs>
          <w:tab w:val="left" w:pos="2839"/>
        </w:tabs>
        <w:ind w:left="720"/>
        <w:jc w:val="center"/>
        <w:rPr>
          <w:szCs w:val="22"/>
        </w:rPr>
      </w:pPr>
    </w:p>
    <w:p w14:paraId="6FDCD242" w14:textId="77777777" w:rsidR="00D263EF" w:rsidRDefault="00D263EF">
      <w:pPr>
        <w:rPr>
          <w:szCs w:val="22"/>
        </w:rPr>
      </w:pPr>
      <w:r>
        <w:rPr>
          <w:szCs w:val="22"/>
        </w:rPr>
        <w:br w:type="page"/>
      </w:r>
    </w:p>
    <w:p w14:paraId="6FDCD243" w14:textId="77777777" w:rsidR="00883246" w:rsidRDefault="00883246" w:rsidP="009410CF">
      <w:pPr>
        <w:tabs>
          <w:tab w:val="left" w:pos="2839"/>
        </w:tabs>
        <w:jc w:val="center"/>
        <w:rPr>
          <w:szCs w:val="22"/>
        </w:rPr>
      </w:pPr>
      <w:r w:rsidRPr="003A2919">
        <w:rPr>
          <w:szCs w:val="22"/>
        </w:rPr>
        <w:lastRenderedPageBreak/>
        <w:t>Appendix A</w:t>
      </w:r>
    </w:p>
    <w:p w14:paraId="6FDCD244" w14:textId="77777777" w:rsidR="00883246" w:rsidRPr="007045AA" w:rsidRDefault="00883246" w:rsidP="009410CF">
      <w:pPr>
        <w:spacing w:after="160" w:line="259" w:lineRule="auto"/>
        <w:jc w:val="center"/>
        <w:rPr>
          <w:rFonts w:ascii="Calibri" w:eastAsia="Calibri" w:hAnsi="Calibri"/>
          <w:sz w:val="36"/>
          <w:szCs w:val="22"/>
          <w:lang w:eastAsia="en-US"/>
        </w:rPr>
      </w:pPr>
      <w:r w:rsidRPr="007045AA">
        <w:rPr>
          <w:rFonts w:ascii="Calibri" w:eastAsia="Calibri" w:hAnsi="Calibri"/>
          <w:sz w:val="36"/>
          <w:szCs w:val="22"/>
          <w:lang w:eastAsia="en-US"/>
        </w:rPr>
        <w:t xml:space="preserve">Section 1 – Accounting Statements for </w:t>
      </w:r>
      <w:r w:rsidRPr="00794473">
        <w:rPr>
          <w:rFonts w:ascii="Calibri" w:eastAsia="Calibri" w:hAnsi="Calibri"/>
          <w:sz w:val="36"/>
          <w:szCs w:val="22"/>
          <w:lang w:eastAsia="en-US"/>
        </w:rPr>
        <w:t>2017/18</w:t>
      </w:r>
    </w:p>
    <w:p w14:paraId="6FDCD245" w14:textId="77777777" w:rsidR="00883246" w:rsidRDefault="00883246" w:rsidP="00883246">
      <w:pPr>
        <w:jc w:val="center"/>
        <w:rPr>
          <w:b/>
          <w:szCs w:val="22"/>
        </w:rPr>
      </w:pPr>
      <w:r>
        <w:rPr>
          <w:b/>
          <w:szCs w:val="22"/>
        </w:rPr>
        <w:t>Budget Out-turn Statement</w:t>
      </w:r>
    </w:p>
    <w:p w14:paraId="6FDCD246" w14:textId="77777777" w:rsidR="00883246" w:rsidRDefault="00883246" w:rsidP="00883246">
      <w:pPr>
        <w:jc w:val="center"/>
        <w:rPr>
          <w:b/>
          <w:szCs w:val="22"/>
        </w:rPr>
      </w:pPr>
    </w:p>
    <w:tbl>
      <w:tblPr>
        <w:tblW w:w="10678" w:type="dxa"/>
        <w:tblInd w:w="-572" w:type="dxa"/>
        <w:tblLook w:val="04A0" w:firstRow="1" w:lastRow="0" w:firstColumn="1" w:lastColumn="0" w:noHBand="0" w:noVBand="1"/>
      </w:tblPr>
      <w:tblGrid>
        <w:gridCol w:w="3544"/>
        <w:gridCol w:w="1276"/>
        <w:gridCol w:w="1276"/>
        <w:gridCol w:w="1701"/>
        <w:gridCol w:w="1418"/>
        <w:gridCol w:w="1463"/>
      </w:tblGrid>
      <w:tr w:rsidR="00883246" w:rsidRPr="007C007B" w14:paraId="6FDCD24D" w14:textId="77777777" w:rsidTr="00156E1F">
        <w:trPr>
          <w:trHeight w:val="578"/>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DCD247" w14:textId="77777777" w:rsidR="00883246" w:rsidRPr="007C007B" w:rsidRDefault="00883246" w:rsidP="00E3492D">
            <w:pPr>
              <w:rPr>
                <w:rFonts w:cs="Arial"/>
                <w:b/>
                <w:bCs/>
                <w:color w:val="000000"/>
                <w:sz w:val="20"/>
              </w:rPr>
            </w:pPr>
            <w:r w:rsidRPr="007C007B">
              <w:rPr>
                <w:rFonts w:cs="Arial"/>
                <w:b/>
                <w:bCs/>
                <w:color w:val="000000"/>
                <w:sz w:val="20"/>
              </w:rPr>
              <w:t>Description</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6FDCD248" w14:textId="77777777" w:rsidR="00883246" w:rsidRPr="007C007B" w:rsidRDefault="00883246" w:rsidP="00E3492D">
            <w:pPr>
              <w:rPr>
                <w:rFonts w:cs="Arial"/>
                <w:b/>
                <w:bCs/>
                <w:color w:val="000000"/>
                <w:sz w:val="20"/>
              </w:rPr>
            </w:pPr>
            <w:r w:rsidRPr="007C007B">
              <w:rPr>
                <w:rFonts w:cs="Arial"/>
                <w:b/>
                <w:bCs/>
                <w:color w:val="000000"/>
                <w:sz w:val="20"/>
              </w:rPr>
              <w:t>Budget £</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14:paraId="6FDCD249" w14:textId="77777777" w:rsidR="00883246" w:rsidRPr="007C007B" w:rsidRDefault="00883246" w:rsidP="00E3492D">
            <w:pPr>
              <w:rPr>
                <w:rFonts w:cs="Arial"/>
                <w:b/>
                <w:bCs/>
                <w:color w:val="000000"/>
                <w:sz w:val="20"/>
              </w:rPr>
            </w:pPr>
            <w:r w:rsidRPr="007C007B">
              <w:rPr>
                <w:rFonts w:cs="Arial"/>
                <w:b/>
                <w:bCs/>
                <w:color w:val="000000"/>
                <w:sz w:val="20"/>
              </w:rPr>
              <w:t>Outturn £</w:t>
            </w:r>
          </w:p>
        </w:tc>
        <w:tc>
          <w:tcPr>
            <w:tcW w:w="1701" w:type="dxa"/>
            <w:tcBorders>
              <w:top w:val="single" w:sz="4" w:space="0" w:color="auto"/>
              <w:left w:val="nil"/>
              <w:bottom w:val="single" w:sz="4" w:space="0" w:color="auto"/>
              <w:right w:val="single" w:sz="4" w:space="0" w:color="auto"/>
            </w:tcBorders>
            <w:shd w:val="clear" w:color="000000" w:fill="D9D9D9"/>
            <w:vAlign w:val="bottom"/>
            <w:hideMark/>
          </w:tcPr>
          <w:p w14:paraId="6FDCD24A" w14:textId="77777777" w:rsidR="00883246" w:rsidRPr="007C007B" w:rsidRDefault="00883246" w:rsidP="00E3492D">
            <w:pPr>
              <w:rPr>
                <w:rFonts w:cs="Arial"/>
                <w:b/>
                <w:bCs/>
                <w:color w:val="000000"/>
                <w:sz w:val="20"/>
              </w:rPr>
            </w:pPr>
            <w:r w:rsidRPr="007C007B">
              <w:rPr>
                <w:rFonts w:cs="Arial"/>
                <w:b/>
                <w:bCs/>
                <w:color w:val="000000"/>
                <w:sz w:val="20"/>
              </w:rPr>
              <w:t>Carry Forward £</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14:paraId="6FDCD24B" w14:textId="77777777" w:rsidR="00883246" w:rsidRPr="007C007B" w:rsidRDefault="00883246" w:rsidP="00E3492D">
            <w:pPr>
              <w:rPr>
                <w:rFonts w:cs="Arial"/>
                <w:b/>
                <w:bCs/>
                <w:color w:val="000000"/>
                <w:sz w:val="20"/>
              </w:rPr>
            </w:pPr>
            <w:r w:rsidRPr="007C007B">
              <w:rPr>
                <w:rFonts w:cs="Arial"/>
                <w:b/>
                <w:bCs/>
                <w:color w:val="000000"/>
                <w:sz w:val="20"/>
              </w:rPr>
              <w:t>Variation £</w:t>
            </w:r>
          </w:p>
        </w:tc>
        <w:tc>
          <w:tcPr>
            <w:tcW w:w="1463" w:type="dxa"/>
            <w:tcBorders>
              <w:top w:val="single" w:sz="4" w:space="0" w:color="auto"/>
              <w:left w:val="nil"/>
              <w:bottom w:val="single" w:sz="4" w:space="0" w:color="auto"/>
              <w:right w:val="single" w:sz="4" w:space="0" w:color="auto"/>
            </w:tcBorders>
            <w:shd w:val="clear" w:color="000000" w:fill="D9D9D9"/>
            <w:vAlign w:val="bottom"/>
            <w:hideMark/>
          </w:tcPr>
          <w:p w14:paraId="6FDCD24C" w14:textId="77777777" w:rsidR="00883246" w:rsidRPr="007C007B" w:rsidRDefault="00883246" w:rsidP="00E3492D">
            <w:pPr>
              <w:rPr>
                <w:rFonts w:cs="Arial"/>
                <w:b/>
                <w:bCs/>
                <w:color w:val="000000"/>
                <w:sz w:val="20"/>
              </w:rPr>
            </w:pPr>
            <w:r w:rsidRPr="007C007B">
              <w:rPr>
                <w:rFonts w:cs="Arial"/>
                <w:b/>
                <w:bCs/>
                <w:color w:val="000000"/>
                <w:sz w:val="20"/>
              </w:rPr>
              <w:t>Explanation</w:t>
            </w:r>
          </w:p>
        </w:tc>
      </w:tr>
      <w:tr w:rsidR="00883246" w:rsidRPr="007C007B" w14:paraId="6FDCD254"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4E" w14:textId="77777777" w:rsidR="00883246" w:rsidRPr="007C007B" w:rsidRDefault="00883246" w:rsidP="00E3492D">
            <w:pPr>
              <w:rPr>
                <w:rFonts w:cs="Arial"/>
                <w:color w:val="000000"/>
                <w:sz w:val="20"/>
              </w:rPr>
            </w:pPr>
            <w:r w:rsidRPr="007C007B">
              <w:rPr>
                <w:rFonts w:cs="Arial"/>
                <w:color w:val="000000"/>
                <w:sz w:val="20"/>
              </w:rPr>
              <w:t>Employee Costs</w:t>
            </w:r>
          </w:p>
        </w:tc>
        <w:tc>
          <w:tcPr>
            <w:tcW w:w="1276" w:type="dxa"/>
            <w:tcBorders>
              <w:top w:val="nil"/>
              <w:left w:val="nil"/>
              <w:bottom w:val="nil"/>
              <w:right w:val="single" w:sz="4" w:space="0" w:color="auto"/>
            </w:tcBorders>
            <w:shd w:val="clear" w:color="auto" w:fill="auto"/>
            <w:noWrap/>
            <w:vAlign w:val="bottom"/>
            <w:hideMark/>
          </w:tcPr>
          <w:p w14:paraId="6FDCD24F" w14:textId="77777777" w:rsidR="00883246" w:rsidRPr="007C007B" w:rsidRDefault="00883246" w:rsidP="00E3492D">
            <w:pPr>
              <w:jc w:val="right"/>
              <w:rPr>
                <w:rFonts w:cs="Arial"/>
                <w:color w:val="000000"/>
                <w:sz w:val="20"/>
              </w:rPr>
            </w:pPr>
            <w:r w:rsidRPr="007C007B">
              <w:rPr>
                <w:rFonts w:cs="Arial"/>
                <w:color w:val="000000"/>
                <w:sz w:val="20"/>
              </w:rPr>
              <w:t>1,443,000</w:t>
            </w:r>
          </w:p>
        </w:tc>
        <w:tc>
          <w:tcPr>
            <w:tcW w:w="1276" w:type="dxa"/>
            <w:tcBorders>
              <w:top w:val="nil"/>
              <w:left w:val="nil"/>
              <w:bottom w:val="nil"/>
              <w:right w:val="single" w:sz="4" w:space="0" w:color="auto"/>
            </w:tcBorders>
            <w:shd w:val="clear" w:color="auto" w:fill="auto"/>
            <w:noWrap/>
            <w:vAlign w:val="bottom"/>
            <w:hideMark/>
          </w:tcPr>
          <w:p w14:paraId="6FDCD250" w14:textId="77777777" w:rsidR="00883246" w:rsidRPr="007C007B" w:rsidRDefault="00883246" w:rsidP="00E3492D">
            <w:pPr>
              <w:jc w:val="right"/>
              <w:rPr>
                <w:rFonts w:cs="Arial"/>
                <w:color w:val="000000"/>
                <w:sz w:val="20"/>
              </w:rPr>
            </w:pPr>
            <w:r w:rsidRPr="007C007B">
              <w:rPr>
                <w:rFonts w:cs="Arial"/>
                <w:color w:val="000000"/>
                <w:sz w:val="20"/>
              </w:rPr>
              <w:t>1,440,827</w:t>
            </w:r>
          </w:p>
        </w:tc>
        <w:tc>
          <w:tcPr>
            <w:tcW w:w="1701" w:type="dxa"/>
            <w:tcBorders>
              <w:top w:val="nil"/>
              <w:left w:val="nil"/>
              <w:bottom w:val="nil"/>
              <w:right w:val="single" w:sz="4" w:space="0" w:color="auto"/>
            </w:tcBorders>
            <w:shd w:val="clear" w:color="auto" w:fill="auto"/>
            <w:noWrap/>
            <w:vAlign w:val="bottom"/>
            <w:hideMark/>
          </w:tcPr>
          <w:p w14:paraId="6FDCD251"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52" w14:textId="77777777" w:rsidR="00883246" w:rsidRPr="007C007B" w:rsidRDefault="00883246" w:rsidP="00E3492D">
            <w:pPr>
              <w:jc w:val="right"/>
              <w:rPr>
                <w:rFonts w:cs="Arial"/>
                <w:color w:val="000000"/>
                <w:sz w:val="20"/>
              </w:rPr>
            </w:pPr>
            <w:r w:rsidRPr="007C007B">
              <w:rPr>
                <w:rFonts w:cs="Arial"/>
                <w:color w:val="000000"/>
                <w:sz w:val="20"/>
              </w:rPr>
              <w:t>2,173</w:t>
            </w:r>
          </w:p>
        </w:tc>
        <w:tc>
          <w:tcPr>
            <w:tcW w:w="1463" w:type="dxa"/>
            <w:tcBorders>
              <w:top w:val="nil"/>
              <w:left w:val="nil"/>
              <w:bottom w:val="nil"/>
              <w:right w:val="single" w:sz="4" w:space="0" w:color="auto"/>
            </w:tcBorders>
            <w:shd w:val="clear" w:color="auto" w:fill="auto"/>
            <w:noWrap/>
            <w:vAlign w:val="bottom"/>
            <w:hideMark/>
          </w:tcPr>
          <w:p w14:paraId="6FDCD253"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5B"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55" w14:textId="77777777" w:rsidR="00883246" w:rsidRPr="007C007B" w:rsidRDefault="00883246" w:rsidP="00E3492D">
            <w:pPr>
              <w:rPr>
                <w:rFonts w:cs="Arial"/>
                <w:color w:val="000000"/>
                <w:sz w:val="20"/>
              </w:rPr>
            </w:pPr>
            <w:r w:rsidRPr="007C007B">
              <w:rPr>
                <w:rFonts w:cs="Arial"/>
                <w:color w:val="000000"/>
                <w:sz w:val="20"/>
              </w:rPr>
              <w:t>Transport</w:t>
            </w:r>
          </w:p>
        </w:tc>
        <w:tc>
          <w:tcPr>
            <w:tcW w:w="1276" w:type="dxa"/>
            <w:tcBorders>
              <w:top w:val="nil"/>
              <w:left w:val="nil"/>
              <w:bottom w:val="nil"/>
              <w:right w:val="single" w:sz="4" w:space="0" w:color="auto"/>
            </w:tcBorders>
            <w:shd w:val="clear" w:color="auto" w:fill="auto"/>
            <w:noWrap/>
            <w:vAlign w:val="bottom"/>
            <w:hideMark/>
          </w:tcPr>
          <w:p w14:paraId="6FDCD256" w14:textId="77777777" w:rsidR="00883246" w:rsidRPr="007C007B" w:rsidRDefault="00883246" w:rsidP="00E3492D">
            <w:pPr>
              <w:jc w:val="right"/>
              <w:rPr>
                <w:rFonts w:cs="Arial"/>
                <w:color w:val="000000"/>
                <w:sz w:val="20"/>
              </w:rPr>
            </w:pPr>
            <w:r w:rsidRPr="007C007B">
              <w:rPr>
                <w:rFonts w:cs="Arial"/>
                <w:color w:val="000000"/>
                <w:sz w:val="20"/>
              </w:rPr>
              <w:t>11,000</w:t>
            </w:r>
          </w:p>
        </w:tc>
        <w:tc>
          <w:tcPr>
            <w:tcW w:w="1276" w:type="dxa"/>
            <w:tcBorders>
              <w:top w:val="nil"/>
              <w:left w:val="nil"/>
              <w:bottom w:val="nil"/>
              <w:right w:val="single" w:sz="4" w:space="0" w:color="auto"/>
            </w:tcBorders>
            <w:shd w:val="clear" w:color="auto" w:fill="auto"/>
            <w:noWrap/>
            <w:vAlign w:val="bottom"/>
            <w:hideMark/>
          </w:tcPr>
          <w:p w14:paraId="6FDCD257" w14:textId="77777777" w:rsidR="00883246" w:rsidRPr="007C007B" w:rsidRDefault="00883246" w:rsidP="00E3492D">
            <w:pPr>
              <w:jc w:val="right"/>
              <w:rPr>
                <w:rFonts w:cs="Arial"/>
                <w:color w:val="000000"/>
                <w:sz w:val="20"/>
              </w:rPr>
            </w:pPr>
            <w:r w:rsidRPr="007C007B">
              <w:rPr>
                <w:rFonts w:cs="Arial"/>
                <w:color w:val="000000"/>
                <w:sz w:val="20"/>
              </w:rPr>
              <w:t>10,329</w:t>
            </w:r>
          </w:p>
        </w:tc>
        <w:tc>
          <w:tcPr>
            <w:tcW w:w="1701" w:type="dxa"/>
            <w:tcBorders>
              <w:top w:val="nil"/>
              <w:left w:val="nil"/>
              <w:bottom w:val="nil"/>
              <w:right w:val="single" w:sz="4" w:space="0" w:color="auto"/>
            </w:tcBorders>
            <w:shd w:val="clear" w:color="auto" w:fill="auto"/>
            <w:noWrap/>
            <w:vAlign w:val="bottom"/>
            <w:hideMark/>
          </w:tcPr>
          <w:p w14:paraId="6FDCD258"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59" w14:textId="77777777" w:rsidR="00883246" w:rsidRPr="007C007B" w:rsidRDefault="00883246" w:rsidP="00E3492D">
            <w:pPr>
              <w:jc w:val="right"/>
              <w:rPr>
                <w:rFonts w:cs="Arial"/>
                <w:color w:val="000000"/>
                <w:sz w:val="20"/>
              </w:rPr>
            </w:pPr>
            <w:r w:rsidRPr="007C007B">
              <w:rPr>
                <w:rFonts w:cs="Arial"/>
                <w:color w:val="000000"/>
                <w:sz w:val="20"/>
              </w:rPr>
              <w:t>671</w:t>
            </w:r>
          </w:p>
        </w:tc>
        <w:tc>
          <w:tcPr>
            <w:tcW w:w="1463" w:type="dxa"/>
            <w:tcBorders>
              <w:top w:val="nil"/>
              <w:left w:val="nil"/>
              <w:bottom w:val="nil"/>
              <w:right w:val="single" w:sz="4" w:space="0" w:color="auto"/>
            </w:tcBorders>
            <w:shd w:val="clear" w:color="auto" w:fill="auto"/>
            <w:noWrap/>
            <w:vAlign w:val="bottom"/>
            <w:hideMark/>
          </w:tcPr>
          <w:p w14:paraId="6FDCD25A"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62"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5C" w14:textId="77777777" w:rsidR="00883246" w:rsidRPr="007C007B" w:rsidRDefault="00883246" w:rsidP="00E3492D">
            <w:pPr>
              <w:rPr>
                <w:rFonts w:cs="Arial"/>
                <w:color w:val="000000"/>
                <w:sz w:val="20"/>
              </w:rPr>
            </w:pPr>
            <w:r w:rsidRPr="007C007B">
              <w:rPr>
                <w:rFonts w:cs="Arial"/>
                <w:color w:val="000000"/>
                <w:sz w:val="20"/>
              </w:rPr>
              <w:t>Supplies &amp; Services *</w:t>
            </w:r>
          </w:p>
        </w:tc>
        <w:tc>
          <w:tcPr>
            <w:tcW w:w="1276" w:type="dxa"/>
            <w:tcBorders>
              <w:top w:val="nil"/>
              <w:left w:val="nil"/>
              <w:bottom w:val="nil"/>
              <w:right w:val="single" w:sz="4" w:space="0" w:color="auto"/>
            </w:tcBorders>
            <w:shd w:val="clear" w:color="auto" w:fill="auto"/>
            <w:noWrap/>
            <w:vAlign w:val="bottom"/>
            <w:hideMark/>
          </w:tcPr>
          <w:p w14:paraId="6FDCD25D" w14:textId="77777777" w:rsidR="00883246" w:rsidRPr="007C007B" w:rsidRDefault="00883246" w:rsidP="00E3492D">
            <w:pPr>
              <w:jc w:val="right"/>
              <w:rPr>
                <w:rFonts w:cs="Arial"/>
                <w:color w:val="000000"/>
                <w:sz w:val="20"/>
              </w:rPr>
            </w:pPr>
            <w:r w:rsidRPr="007C007B">
              <w:rPr>
                <w:rFonts w:cs="Arial"/>
                <w:color w:val="000000"/>
                <w:sz w:val="20"/>
              </w:rPr>
              <w:t>64,000</w:t>
            </w:r>
          </w:p>
        </w:tc>
        <w:tc>
          <w:tcPr>
            <w:tcW w:w="1276" w:type="dxa"/>
            <w:tcBorders>
              <w:top w:val="nil"/>
              <w:left w:val="nil"/>
              <w:bottom w:val="nil"/>
              <w:right w:val="single" w:sz="4" w:space="0" w:color="auto"/>
            </w:tcBorders>
            <w:shd w:val="clear" w:color="auto" w:fill="auto"/>
            <w:noWrap/>
            <w:vAlign w:val="bottom"/>
            <w:hideMark/>
          </w:tcPr>
          <w:p w14:paraId="6FDCD25E" w14:textId="77777777" w:rsidR="00883246" w:rsidRPr="007C007B" w:rsidRDefault="00883246" w:rsidP="00E3492D">
            <w:pPr>
              <w:jc w:val="right"/>
              <w:rPr>
                <w:rFonts w:cs="Arial"/>
                <w:color w:val="000000"/>
                <w:sz w:val="20"/>
              </w:rPr>
            </w:pPr>
            <w:r w:rsidRPr="007C007B">
              <w:rPr>
                <w:rFonts w:cs="Arial"/>
                <w:color w:val="000000"/>
                <w:sz w:val="20"/>
              </w:rPr>
              <w:t>53,238</w:t>
            </w:r>
          </w:p>
        </w:tc>
        <w:tc>
          <w:tcPr>
            <w:tcW w:w="1701" w:type="dxa"/>
            <w:tcBorders>
              <w:top w:val="nil"/>
              <w:left w:val="nil"/>
              <w:bottom w:val="nil"/>
              <w:right w:val="single" w:sz="4" w:space="0" w:color="auto"/>
            </w:tcBorders>
            <w:shd w:val="clear" w:color="auto" w:fill="auto"/>
            <w:noWrap/>
            <w:vAlign w:val="bottom"/>
            <w:hideMark/>
          </w:tcPr>
          <w:p w14:paraId="6FDCD25F"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60" w14:textId="77777777" w:rsidR="00883246" w:rsidRPr="007C007B" w:rsidRDefault="00883246" w:rsidP="00E3492D">
            <w:pPr>
              <w:jc w:val="right"/>
              <w:rPr>
                <w:rFonts w:cs="Arial"/>
                <w:color w:val="000000"/>
                <w:sz w:val="20"/>
              </w:rPr>
            </w:pPr>
            <w:r w:rsidRPr="007C007B">
              <w:rPr>
                <w:rFonts w:cs="Arial"/>
                <w:color w:val="000000"/>
                <w:sz w:val="20"/>
              </w:rPr>
              <w:t>10,762</w:t>
            </w:r>
          </w:p>
        </w:tc>
        <w:tc>
          <w:tcPr>
            <w:tcW w:w="1463" w:type="dxa"/>
            <w:tcBorders>
              <w:top w:val="nil"/>
              <w:left w:val="nil"/>
              <w:bottom w:val="nil"/>
              <w:right w:val="single" w:sz="4" w:space="0" w:color="auto"/>
            </w:tcBorders>
            <w:shd w:val="clear" w:color="auto" w:fill="auto"/>
            <w:noWrap/>
            <w:vAlign w:val="bottom"/>
            <w:hideMark/>
          </w:tcPr>
          <w:p w14:paraId="6FDCD261"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69"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63" w14:textId="77777777" w:rsidR="00883246" w:rsidRPr="007C007B" w:rsidRDefault="00883246" w:rsidP="00E3492D">
            <w:pPr>
              <w:rPr>
                <w:rFonts w:cs="Arial"/>
                <w:color w:val="000000"/>
                <w:sz w:val="20"/>
              </w:rPr>
            </w:pPr>
            <w:r w:rsidRPr="007C007B">
              <w:rPr>
                <w:rFonts w:cs="Arial"/>
                <w:color w:val="000000"/>
                <w:sz w:val="20"/>
              </w:rPr>
              <w:t>LCC Audit Budget</w:t>
            </w:r>
          </w:p>
        </w:tc>
        <w:tc>
          <w:tcPr>
            <w:tcW w:w="1276" w:type="dxa"/>
            <w:tcBorders>
              <w:top w:val="nil"/>
              <w:left w:val="nil"/>
              <w:bottom w:val="nil"/>
              <w:right w:val="single" w:sz="4" w:space="0" w:color="auto"/>
            </w:tcBorders>
            <w:shd w:val="clear" w:color="auto" w:fill="auto"/>
            <w:noWrap/>
            <w:vAlign w:val="bottom"/>
            <w:hideMark/>
          </w:tcPr>
          <w:p w14:paraId="6FDCD264" w14:textId="77777777" w:rsidR="00883246" w:rsidRPr="007C007B" w:rsidRDefault="00883246" w:rsidP="00E3492D">
            <w:pPr>
              <w:jc w:val="right"/>
              <w:rPr>
                <w:rFonts w:cs="Arial"/>
                <w:color w:val="000000"/>
                <w:sz w:val="20"/>
              </w:rPr>
            </w:pPr>
            <w:r w:rsidRPr="007C007B">
              <w:rPr>
                <w:rFonts w:cs="Arial"/>
                <w:color w:val="000000"/>
                <w:sz w:val="20"/>
              </w:rPr>
              <w:t>12,000</w:t>
            </w:r>
          </w:p>
        </w:tc>
        <w:tc>
          <w:tcPr>
            <w:tcW w:w="1276" w:type="dxa"/>
            <w:tcBorders>
              <w:top w:val="nil"/>
              <w:left w:val="nil"/>
              <w:bottom w:val="nil"/>
              <w:right w:val="single" w:sz="4" w:space="0" w:color="auto"/>
            </w:tcBorders>
            <w:shd w:val="clear" w:color="auto" w:fill="auto"/>
            <w:noWrap/>
            <w:vAlign w:val="bottom"/>
            <w:hideMark/>
          </w:tcPr>
          <w:p w14:paraId="6FDCD265" w14:textId="77777777" w:rsidR="00883246" w:rsidRPr="007C007B" w:rsidRDefault="00883246" w:rsidP="00E3492D">
            <w:pPr>
              <w:jc w:val="right"/>
              <w:rPr>
                <w:rFonts w:cs="Arial"/>
                <w:color w:val="000000"/>
                <w:sz w:val="20"/>
              </w:rPr>
            </w:pPr>
            <w:r w:rsidRPr="007C007B">
              <w:rPr>
                <w:rFonts w:cs="Arial"/>
                <w:color w:val="000000"/>
                <w:sz w:val="20"/>
              </w:rPr>
              <w:t>4,355</w:t>
            </w:r>
          </w:p>
        </w:tc>
        <w:tc>
          <w:tcPr>
            <w:tcW w:w="1701" w:type="dxa"/>
            <w:tcBorders>
              <w:top w:val="nil"/>
              <w:left w:val="nil"/>
              <w:bottom w:val="nil"/>
              <w:right w:val="single" w:sz="4" w:space="0" w:color="auto"/>
            </w:tcBorders>
            <w:shd w:val="clear" w:color="auto" w:fill="auto"/>
            <w:noWrap/>
            <w:vAlign w:val="bottom"/>
            <w:hideMark/>
          </w:tcPr>
          <w:p w14:paraId="6FDCD266" w14:textId="77777777" w:rsidR="00883246" w:rsidRPr="007C007B" w:rsidRDefault="00883246" w:rsidP="00E3492D">
            <w:pPr>
              <w:jc w:val="right"/>
              <w:rPr>
                <w:rFonts w:cs="Arial"/>
                <w:color w:val="000000"/>
                <w:sz w:val="20"/>
              </w:rPr>
            </w:pPr>
            <w:r w:rsidRPr="007C007B">
              <w:rPr>
                <w:rFonts w:cs="Arial"/>
                <w:color w:val="000000"/>
                <w:sz w:val="20"/>
              </w:rPr>
              <w:t>(7,345)</w:t>
            </w:r>
          </w:p>
        </w:tc>
        <w:tc>
          <w:tcPr>
            <w:tcW w:w="1418" w:type="dxa"/>
            <w:tcBorders>
              <w:top w:val="nil"/>
              <w:left w:val="nil"/>
              <w:bottom w:val="nil"/>
              <w:right w:val="single" w:sz="4" w:space="0" w:color="auto"/>
            </w:tcBorders>
            <w:shd w:val="clear" w:color="auto" w:fill="auto"/>
            <w:noWrap/>
            <w:vAlign w:val="bottom"/>
            <w:hideMark/>
          </w:tcPr>
          <w:p w14:paraId="6FDCD267" w14:textId="77777777" w:rsidR="00883246" w:rsidRPr="007C007B" w:rsidRDefault="00883246" w:rsidP="00E3492D">
            <w:pPr>
              <w:jc w:val="right"/>
              <w:rPr>
                <w:rFonts w:cs="Arial"/>
                <w:color w:val="000000"/>
                <w:sz w:val="20"/>
              </w:rPr>
            </w:pPr>
            <w:r w:rsidRPr="007C007B">
              <w:rPr>
                <w:rFonts w:cs="Arial"/>
                <w:color w:val="000000"/>
                <w:sz w:val="20"/>
              </w:rPr>
              <w:t>300</w:t>
            </w:r>
          </w:p>
        </w:tc>
        <w:tc>
          <w:tcPr>
            <w:tcW w:w="1463" w:type="dxa"/>
            <w:tcBorders>
              <w:top w:val="nil"/>
              <w:left w:val="nil"/>
              <w:bottom w:val="nil"/>
              <w:right w:val="single" w:sz="4" w:space="0" w:color="auto"/>
            </w:tcBorders>
            <w:shd w:val="clear" w:color="auto" w:fill="auto"/>
            <w:noWrap/>
            <w:vAlign w:val="bottom"/>
            <w:hideMark/>
          </w:tcPr>
          <w:p w14:paraId="6FDCD268"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70"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6A" w14:textId="77777777" w:rsidR="00883246" w:rsidRPr="007C007B" w:rsidRDefault="00883246" w:rsidP="00E3492D">
            <w:pPr>
              <w:rPr>
                <w:rFonts w:cs="Arial"/>
                <w:color w:val="000000"/>
                <w:sz w:val="20"/>
              </w:rPr>
            </w:pPr>
            <w:r w:rsidRPr="007C007B">
              <w:rPr>
                <w:rFonts w:cs="Arial"/>
                <w:color w:val="000000"/>
                <w:sz w:val="20"/>
              </w:rPr>
              <w:t>Financial Management Information System</w:t>
            </w:r>
          </w:p>
        </w:tc>
        <w:tc>
          <w:tcPr>
            <w:tcW w:w="1276" w:type="dxa"/>
            <w:tcBorders>
              <w:top w:val="nil"/>
              <w:left w:val="nil"/>
              <w:bottom w:val="nil"/>
              <w:right w:val="single" w:sz="4" w:space="0" w:color="auto"/>
            </w:tcBorders>
            <w:shd w:val="clear" w:color="auto" w:fill="auto"/>
            <w:noWrap/>
            <w:vAlign w:val="bottom"/>
            <w:hideMark/>
          </w:tcPr>
          <w:p w14:paraId="6FDCD26B" w14:textId="77777777" w:rsidR="00883246" w:rsidRPr="007C007B" w:rsidRDefault="00883246" w:rsidP="00E3492D">
            <w:pPr>
              <w:jc w:val="right"/>
              <w:rPr>
                <w:rFonts w:cs="Arial"/>
                <w:color w:val="000000"/>
                <w:sz w:val="20"/>
              </w:rPr>
            </w:pPr>
            <w:r w:rsidRPr="007C007B">
              <w:rPr>
                <w:rFonts w:cs="Arial"/>
                <w:color w:val="000000"/>
                <w:sz w:val="20"/>
              </w:rPr>
              <w:t>72,500</w:t>
            </w:r>
          </w:p>
        </w:tc>
        <w:tc>
          <w:tcPr>
            <w:tcW w:w="1276" w:type="dxa"/>
            <w:tcBorders>
              <w:top w:val="nil"/>
              <w:left w:val="nil"/>
              <w:bottom w:val="nil"/>
              <w:right w:val="single" w:sz="4" w:space="0" w:color="auto"/>
            </w:tcBorders>
            <w:shd w:val="clear" w:color="auto" w:fill="auto"/>
            <w:noWrap/>
            <w:vAlign w:val="bottom"/>
            <w:hideMark/>
          </w:tcPr>
          <w:p w14:paraId="6FDCD26C" w14:textId="77777777" w:rsidR="00883246" w:rsidRPr="007C007B" w:rsidRDefault="00883246" w:rsidP="00E3492D">
            <w:pPr>
              <w:jc w:val="right"/>
              <w:rPr>
                <w:rFonts w:cs="Arial"/>
                <w:color w:val="000000"/>
                <w:sz w:val="20"/>
              </w:rPr>
            </w:pPr>
            <w:r w:rsidRPr="007C007B">
              <w:rPr>
                <w:rFonts w:cs="Arial"/>
                <w:color w:val="000000"/>
                <w:sz w:val="20"/>
              </w:rPr>
              <w:t>72,576</w:t>
            </w:r>
          </w:p>
        </w:tc>
        <w:tc>
          <w:tcPr>
            <w:tcW w:w="1701" w:type="dxa"/>
            <w:tcBorders>
              <w:top w:val="nil"/>
              <w:left w:val="nil"/>
              <w:bottom w:val="nil"/>
              <w:right w:val="single" w:sz="4" w:space="0" w:color="auto"/>
            </w:tcBorders>
            <w:shd w:val="clear" w:color="auto" w:fill="auto"/>
            <w:noWrap/>
            <w:vAlign w:val="bottom"/>
            <w:hideMark/>
          </w:tcPr>
          <w:p w14:paraId="6FDCD26D"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6E" w14:textId="77777777" w:rsidR="00883246" w:rsidRPr="007C007B" w:rsidRDefault="00883246" w:rsidP="00E3492D">
            <w:pPr>
              <w:jc w:val="right"/>
              <w:rPr>
                <w:rFonts w:cs="Arial"/>
                <w:color w:val="000000"/>
                <w:sz w:val="20"/>
              </w:rPr>
            </w:pPr>
            <w:r w:rsidRPr="007C007B">
              <w:rPr>
                <w:rFonts w:cs="Arial"/>
                <w:color w:val="000000"/>
                <w:sz w:val="20"/>
              </w:rPr>
              <w:t>(76)</w:t>
            </w:r>
          </w:p>
        </w:tc>
        <w:tc>
          <w:tcPr>
            <w:tcW w:w="1463" w:type="dxa"/>
            <w:tcBorders>
              <w:top w:val="nil"/>
              <w:left w:val="nil"/>
              <w:bottom w:val="nil"/>
              <w:right w:val="single" w:sz="4" w:space="0" w:color="auto"/>
            </w:tcBorders>
            <w:shd w:val="clear" w:color="auto" w:fill="auto"/>
            <w:noWrap/>
            <w:vAlign w:val="bottom"/>
            <w:hideMark/>
          </w:tcPr>
          <w:p w14:paraId="6FDCD26F"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77"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71" w14:textId="77777777" w:rsidR="00883246" w:rsidRPr="007C007B" w:rsidRDefault="00883246" w:rsidP="00E3492D">
            <w:pPr>
              <w:rPr>
                <w:rFonts w:cs="Arial"/>
                <w:color w:val="000000"/>
                <w:sz w:val="20"/>
              </w:rPr>
            </w:pPr>
            <w:r w:rsidRPr="007C007B">
              <w:rPr>
                <w:rFonts w:cs="Arial"/>
                <w:color w:val="000000"/>
                <w:sz w:val="20"/>
              </w:rPr>
              <w:t>Financial System Projects</w:t>
            </w:r>
          </w:p>
        </w:tc>
        <w:tc>
          <w:tcPr>
            <w:tcW w:w="1276" w:type="dxa"/>
            <w:tcBorders>
              <w:top w:val="nil"/>
              <w:left w:val="nil"/>
              <w:bottom w:val="nil"/>
              <w:right w:val="single" w:sz="4" w:space="0" w:color="auto"/>
            </w:tcBorders>
            <w:shd w:val="clear" w:color="auto" w:fill="auto"/>
            <w:noWrap/>
            <w:vAlign w:val="bottom"/>
            <w:hideMark/>
          </w:tcPr>
          <w:p w14:paraId="6FDCD272" w14:textId="77777777" w:rsidR="00883246" w:rsidRPr="007C007B" w:rsidRDefault="00883246" w:rsidP="00E3492D">
            <w:pPr>
              <w:jc w:val="right"/>
              <w:rPr>
                <w:rFonts w:cs="Arial"/>
                <w:color w:val="000000"/>
                <w:sz w:val="20"/>
              </w:rPr>
            </w:pPr>
            <w:r w:rsidRPr="007C007B">
              <w:rPr>
                <w:rFonts w:cs="Arial"/>
                <w:color w:val="000000"/>
                <w:sz w:val="20"/>
              </w:rPr>
              <w:t>52,500</w:t>
            </w:r>
          </w:p>
        </w:tc>
        <w:tc>
          <w:tcPr>
            <w:tcW w:w="1276" w:type="dxa"/>
            <w:tcBorders>
              <w:top w:val="nil"/>
              <w:left w:val="nil"/>
              <w:bottom w:val="nil"/>
              <w:right w:val="single" w:sz="4" w:space="0" w:color="auto"/>
            </w:tcBorders>
            <w:shd w:val="clear" w:color="auto" w:fill="auto"/>
            <w:noWrap/>
            <w:vAlign w:val="bottom"/>
            <w:hideMark/>
          </w:tcPr>
          <w:p w14:paraId="6FDCD273" w14:textId="77777777" w:rsidR="00883246" w:rsidRPr="007C007B" w:rsidRDefault="00883246" w:rsidP="00E3492D">
            <w:pPr>
              <w:jc w:val="right"/>
              <w:rPr>
                <w:rFonts w:cs="Arial"/>
                <w:color w:val="000000"/>
                <w:sz w:val="20"/>
              </w:rPr>
            </w:pPr>
            <w:r w:rsidRPr="007C007B">
              <w:rPr>
                <w:rFonts w:cs="Arial"/>
                <w:color w:val="000000"/>
                <w:sz w:val="20"/>
              </w:rPr>
              <w:t>22,310</w:t>
            </w:r>
          </w:p>
        </w:tc>
        <w:tc>
          <w:tcPr>
            <w:tcW w:w="1701" w:type="dxa"/>
            <w:tcBorders>
              <w:top w:val="nil"/>
              <w:left w:val="nil"/>
              <w:bottom w:val="nil"/>
              <w:right w:val="single" w:sz="4" w:space="0" w:color="auto"/>
            </w:tcBorders>
            <w:shd w:val="clear" w:color="auto" w:fill="auto"/>
            <w:noWrap/>
            <w:vAlign w:val="bottom"/>
            <w:hideMark/>
          </w:tcPr>
          <w:p w14:paraId="6FDCD274" w14:textId="77777777" w:rsidR="00883246" w:rsidRPr="007C007B" w:rsidRDefault="00883246" w:rsidP="00E3492D">
            <w:pPr>
              <w:jc w:val="right"/>
              <w:rPr>
                <w:rFonts w:cs="Arial"/>
                <w:color w:val="000000"/>
                <w:sz w:val="20"/>
              </w:rPr>
            </w:pPr>
            <w:r w:rsidRPr="007C007B">
              <w:rPr>
                <w:rFonts w:cs="Arial"/>
                <w:color w:val="000000"/>
                <w:sz w:val="20"/>
              </w:rPr>
              <w:t>(34,260)</w:t>
            </w:r>
          </w:p>
        </w:tc>
        <w:tc>
          <w:tcPr>
            <w:tcW w:w="1418" w:type="dxa"/>
            <w:tcBorders>
              <w:top w:val="nil"/>
              <w:left w:val="nil"/>
              <w:bottom w:val="nil"/>
              <w:right w:val="single" w:sz="4" w:space="0" w:color="auto"/>
            </w:tcBorders>
            <w:shd w:val="clear" w:color="auto" w:fill="auto"/>
            <w:noWrap/>
            <w:vAlign w:val="bottom"/>
            <w:hideMark/>
          </w:tcPr>
          <w:p w14:paraId="6FDCD275" w14:textId="77777777" w:rsidR="00883246" w:rsidRPr="007C007B" w:rsidRDefault="00883246" w:rsidP="00E3492D">
            <w:pPr>
              <w:jc w:val="right"/>
              <w:rPr>
                <w:rFonts w:cs="Arial"/>
                <w:color w:val="000000"/>
                <w:sz w:val="20"/>
              </w:rPr>
            </w:pPr>
            <w:r w:rsidRPr="007C007B">
              <w:rPr>
                <w:rFonts w:cs="Arial"/>
                <w:color w:val="000000"/>
                <w:sz w:val="20"/>
              </w:rPr>
              <w:t>(4,070)</w:t>
            </w:r>
          </w:p>
        </w:tc>
        <w:tc>
          <w:tcPr>
            <w:tcW w:w="1463" w:type="dxa"/>
            <w:tcBorders>
              <w:top w:val="nil"/>
              <w:left w:val="nil"/>
              <w:bottom w:val="nil"/>
              <w:right w:val="single" w:sz="4" w:space="0" w:color="auto"/>
            </w:tcBorders>
            <w:shd w:val="clear" w:color="auto" w:fill="auto"/>
            <w:noWrap/>
            <w:vAlign w:val="bottom"/>
            <w:hideMark/>
          </w:tcPr>
          <w:p w14:paraId="6FDCD276"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7E"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78" w14:textId="77777777" w:rsidR="00883246" w:rsidRPr="007C007B" w:rsidRDefault="00883246" w:rsidP="00E3492D">
            <w:pPr>
              <w:rPr>
                <w:rFonts w:cs="Arial"/>
                <w:color w:val="000000"/>
                <w:sz w:val="20"/>
              </w:rPr>
            </w:pPr>
            <w:r w:rsidRPr="007C007B">
              <w:rPr>
                <w:rFonts w:cs="Arial"/>
                <w:color w:val="000000"/>
                <w:sz w:val="20"/>
              </w:rPr>
              <w:t>Income</w:t>
            </w:r>
          </w:p>
        </w:tc>
        <w:tc>
          <w:tcPr>
            <w:tcW w:w="1276" w:type="dxa"/>
            <w:tcBorders>
              <w:top w:val="nil"/>
              <w:left w:val="nil"/>
              <w:bottom w:val="nil"/>
              <w:right w:val="single" w:sz="4" w:space="0" w:color="auto"/>
            </w:tcBorders>
            <w:shd w:val="clear" w:color="auto" w:fill="auto"/>
            <w:noWrap/>
            <w:vAlign w:val="bottom"/>
            <w:hideMark/>
          </w:tcPr>
          <w:p w14:paraId="6FDCD279" w14:textId="77777777" w:rsidR="00883246" w:rsidRPr="007C007B" w:rsidRDefault="00883246" w:rsidP="00E3492D">
            <w:pPr>
              <w:jc w:val="right"/>
              <w:rPr>
                <w:rFonts w:cs="Arial"/>
                <w:color w:val="000000"/>
                <w:sz w:val="20"/>
              </w:rPr>
            </w:pPr>
            <w:r w:rsidRPr="007C007B">
              <w:rPr>
                <w:rFonts w:cs="Arial"/>
                <w:color w:val="000000"/>
                <w:sz w:val="20"/>
              </w:rPr>
              <w:t>0</w:t>
            </w:r>
          </w:p>
        </w:tc>
        <w:tc>
          <w:tcPr>
            <w:tcW w:w="1276" w:type="dxa"/>
            <w:tcBorders>
              <w:top w:val="nil"/>
              <w:left w:val="nil"/>
              <w:bottom w:val="nil"/>
              <w:right w:val="single" w:sz="4" w:space="0" w:color="auto"/>
            </w:tcBorders>
            <w:shd w:val="clear" w:color="auto" w:fill="auto"/>
            <w:noWrap/>
            <w:vAlign w:val="bottom"/>
            <w:hideMark/>
          </w:tcPr>
          <w:p w14:paraId="6FDCD27A" w14:textId="77777777" w:rsidR="00883246" w:rsidRPr="007C007B" w:rsidRDefault="00883246" w:rsidP="00E3492D">
            <w:pPr>
              <w:jc w:val="right"/>
              <w:rPr>
                <w:rFonts w:cs="Arial"/>
                <w:color w:val="000000"/>
                <w:sz w:val="20"/>
              </w:rPr>
            </w:pPr>
            <w:r w:rsidRPr="007C007B">
              <w:rPr>
                <w:rFonts w:cs="Arial"/>
                <w:color w:val="000000"/>
                <w:sz w:val="20"/>
              </w:rPr>
              <w:t>(37)</w:t>
            </w:r>
          </w:p>
        </w:tc>
        <w:tc>
          <w:tcPr>
            <w:tcW w:w="1701" w:type="dxa"/>
            <w:tcBorders>
              <w:top w:val="nil"/>
              <w:left w:val="nil"/>
              <w:bottom w:val="nil"/>
              <w:right w:val="single" w:sz="4" w:space="0" w:color="auto"/>
            </w:tcBorders>
            <w:shd w:val="clear" w:color="auto" w:fill="auto"/>
            <w:noWrap/>
            <w:vAlign w:val="bottom"/>
            <w:hideMark/>
          </w:tcPr>
          <w:p w14:paraId="6FDCD27B"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7C" w14:textId="77777777" w:rsidR="00883246" w:rsidRPr="007C007B" w:rsidRDefault="00883246" w:rsidP="00E3492D">
            <w:pPr>
              <w:jc w:val="right"/>
              <w:rPr>
                <w:rFonts w:cs="Arial"/>
                <w:color w:val="000000"/>
                <w:sz w:val="20"/>
              </w:rPr>
            </w:pPr>
            <w:r w:rsidRPr="007C007B">
              <w:rPr>
                <w:rFonts w:cs="Arial"/>
                <w:color w:val="000000"/>
                <w:sz w:val="20"/>
              </w:rPr>
              <w:t>37</w:t>
            </w:r>
          </w:p>
        </w:tc>
        <w:tc>
          <w:tcPr>
            <w:tcW w:w="1463" w:type="dxa"/>
            <w:tcBorders>
              <w:top w:val="nil"/>
              <w:left w:val="nil"/>
              <w:bottom w:val="nil"/>
              <w:right w:val="single" w:sz="4" w:space="0" w:color="auto"/>
            </w:tcBorders>
            <w:shd w:val="clear" w:color="auto" w:fill="auto"/>
            <w:noWrap/>
            <w:vAlign w:val="bottom"/>
            <w:hideMark/>
          </w:tcPr>
          <w:p w14:paraId="6FDCD27D" w14:textId="77777777" w:rsidR="00883246" w:rsidRPr="007C007B" w:rsidRDefault="00883246" w:rsidP="00E3492D">
            <w:pPr>
              <w:rPr>
                <w:rFonts w:cs="Arial"/>
                <w:color w:val="000000"/>
                <w:sz w:val="20"/>
              </w:rPr>
            </w:pPr>
            <w:r w:rsidRPr="007C007B">
              <w:rPr>
                <w:rFonts w:cs="Arial"/>
                <w:color w:val="000000"/>
                <w:sz w:val="20"/>
              </w:rPr>
              <w:t>On budget</w:t>
            </w:r>
          </w:p>
        </w:tc>
      </w:tr>
      <w:tr w:rsidR="00883246" w:rsidRPr="007C007B" w14:paraId="6FDCD285" w14:textId="77777777" w:rsidTr="00156E1F">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DCD27F" w14:textId="77777777" w:rsidR="00883246" w:rsidRPr="007C007B" w:rsidRDefault="00883246" w:rsidP="00E3492D">
            <w:pPr>
              <w:rPr>
                <w:rFonts w:cs="Arial"/>
                <w:b/>
                <w:bCs/>
                <w:color w:val="000000"/>
                <w:sz w:val="20"/>
              </w:rPr>
            </w:pPr>
            <w:r w:rsidRPr="007C007B">
              <w:rPr>
                <w:rFonts w:cs="Arial"/>
                <w:b/>
                <w:bCs/>
                <w:color w:val="000000"/>
                <w:sz w:val="20"/>
              </w:rPr>
              <w:t>TOTAL</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6FDCD280" w14:textId="77777777" w:rsidR="00883246" w:rsidRPr="007C007B" w:rsidRDefault="00883246" w:rsidP="00E3492D">
            <w:pPr>
              <w:jc w:val="right"/>
              <w:rPr>
                <w:rFonts w:cs="Arial"/>
                <w:b/>
                <w:bCs/>
                <w:color w:val="000000"/>
                <w:sz w:val="20"/>
              </w:rPr>
            </w:pPr>
            <w:r w:rsidRPr="007C007B">
              <w:rPr>
                <w:rFonts w:cs="Arial"/>
                <w:b/>
                <w:bCs/>
                <w:color w:val="000000"/>
                <w:sz w:val="20"/>
              </w:rPr>
              <w:t>1,655,000</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6FDCD281" w14:textId="77777777" w:rsidR="00883246" w:rsidRPr="007C007B" w:rsidRDefault="00883246" w:rsidP="00E3492D">
            <w:pPr>
              <w:jc w:val="right"/>
              <w:rPr>
                <w:rFonts w:cs="Arial"/>
                <w:b/>
                <w:bCs/>
                <w:color w:val="000000"/>
                <w:sz w:val="20"/>
              </w:rPr>
            </w:pPr>
            <w:r w:rsidRPr="007C007B">
              <w:rPr>
                <w:rFonts w:cs="Arial"/>
                <w:b/>
                <w:bCs/>
                <w:color w:val="000000"/>
                <w:sz w:val="20"/>
              </w:rPr>
              <w:t>1,603,598</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6FDCD282" w14:textId="77777777" w:rsidR="00883246" w:rsidRPr="007C007B" w:rsidRDefault="00883246" w:rsidP="00E3492D">
            <w:pPr>
              <w:jc w:val="right"/>
              <w:rPr>
                <w:rFonts w:cs="Arial"/>
                <w:b/>
                <w:bCs/>
                <w:color w:val="000000"/>
                <w:sz w:val="20"/>
              </w:rPr>
            </w:pPr>
            <w:r w:rsidRPr="007C007B">
              <w:rPr>
                <w:rFonts w:cs="Arial"/>
                <w:b/>
                <w:bCs/>
                <w:color w:val="000000"/>
                <w:sz w:val="20"/>
              </w:rPr>
              <w:t>(41,605)</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6FDCD283" w14:textId="77777777" w:rsidR="00883246" w:rsidRPr="007C007B" w:rsidRDefault="00883246" w:rsidP="00E3492D">
            <w:pPr>
              <w:jc w:val="right"/>
              <w:rPr>
                <w:rFonts w:cs="Arial"/>
                <w:b/>
                <w:bCs/>
                <w:color w:val="000000"/>
                <w:sz w:val="20"/>
              </w:rPr>
            </w:pPr>
            <w:r w:rsidRPr="007C007B">
              <w:rPr>
                <w:rFonts w:cs="Arial"/>
                <w:b/>
                <w:bCs/>
                <w:color w:val="000000"/>
                <w:sz w:val="20"/>
              </w:rPr>
              <w:t>9,797</w:t>
            </w:r>
          </w:p>
        </w:tc>
        <w:tc>
          <w:tcPr>
            <w:tcW w:w="1463" w:type="dxa"/>
            <w:tcBorders>
              <w:top w:val="single" w:sz="4" w:space="0" w:color="auto"/>
              <w:left w:val="nil"/>
              <w:bottom w:val="single" w:sz="4" w:space="0" w:color="auto"/>
              <w:right w:val="single" w:sz="4" w:space="0" w:color="auto"/>
            </w:tcBorders>
            <w:shd w:val="clear" w:color="000000" w:fill="D9D9D9"/>
            <w:noWrap/>
            <w:vAlign w:val="bottom"/>
            <w:hideMark/>
          </w:tcPr>
          <w:p w14:paraId="6FDCD284"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8C" w14:textId="77777777" w:rsidTr="00156E1F">
        <w:trPr>
          <w:trHeight w:val="300"/>
        </w:trPr>
        <w:tc>
          <w:tcPr>
            <w:tcW w:w="3544" w:type="dxa"/>
            <w:tcBorders>
              <w:top w:val="nil"/>
              <w:left w:val="single" w:sz="4" w:space="0" w:color="auto"/>
              <w:bottom w:val="nil"/>
              <w:right w:val="single" w:sz="4" w:space="0" w:color="auto"/>
            </w:tcBorders>
            <w:shd w:val="clear" w:color="auto" w:fill="auto"/>
            <w:noWrap/>
            <w:vAlign w:val="bottom"/>
            <w:hideMark/>
          </w:tcPr>
          <w:p w14:paraId="6FDCD286" w14:textId="77777777" w:rsidR="00883246" w:rsidRPr="007C007B" w:rsidRDefault="00883246" w:rsidP="00E3492D">
            <w:pPr>
              <w:rPr>
                <w:rFonts w:cs="Arial"/>
                <w:b/>
                <w:bCs/>
                <w:color w:val="000000"/>
                <w:sz w:val="20"/>
              </w:rPr>
            </w:pPr>
            <w:r w:rsidRPr="007C007B">
              <w:rPr>
                <w:rFonts w:cs="Arial"/>
                <w:b/>
                <w:bCs/>
                <w:color w:val="000000"/>
                <w:sz w:val="20"/>
              </w:rPr>
              <w:t>Funded By:</w:t>
            </w:r>
          </w:p>
        </w:tc>
        <w:tc>
          <w:tcPr>
            <w:tcW w:w="1276" w:type="dxa"/>
            <w:tcBorders>
              <w:top w:val="nil"/>
              <w:left w:val="nil"/>
              <w:bottom w:val="nil"/>
              <w:right w:val="single" w:sz="4" w:space="0" w:color="auto"/>
            </w:tcBorders>
            <w:shd w:val="clear" w:color="auto" w:fill="auto"/>
            <w:noWrap/>
            <w:vAlign w:val="bottom"/>
            <w:hideMark/>
          </w:tcPr>
          <w:p w14:paraId="6FDCD287" w14:textId="77777777" w:rsidR="00883246" w:rsidRPr="007C007B" w:rsidRDefault="00883246" w:rsidP="00E3492D">
            <w:pPr>
              <w:rPr>
                <w:rFonts w:cs="Arial"/>
                <w:color w:val="000000"/>
                <w:sz w:val="20"/>
              </w:rPr>
            </w:pPr>
            <w:r w:rsidRPr="007C007B">
              <w:rPr>
                <w:rFonts w:cs="Arial"/>
                <w:color w:val="000000"/>
                <w:sz w:val="20"/>
              </w:rPr>
              <w:t> </w:t>
            </w:r>
          </w:p>
        </w:tc>
        <w:tc>
          <w:tcPr>
            <w:tcW w:w="1276" w:type="dxa"/>
            <w:tcBorders>
              <w:top w:val="nil"/>
              <w:left w:val="nil"/>
              <w:bottom w:val="nil"/>
              <w:right w:val="single" w:sz="4" w:space="0" w:color="auto"/>
            </w:tcBorders>
            <w:shd w:val="clear" w:color="auto" w:fill="auto"/>
            <w:noWrap/>
            <w:vAlign w:val="bottom"/>
            <w:hideMark/>
          </w:tcPr>
          <w:p w14:paraId="6FDCD288" w14:textId="77777777" w:rsidR="00883246" w:rsidRPr="007C007B" w:rsidRDefault="00883246" w:rsidP="00E3492D">
            <w:pPr>
              <w:rPr>
                <w:rFonts w:cs="Arial"/>
                <w:color w:val="000000"/>
                <w:sz w:val="20"/>
              </w:rPr>
            </w:pPr>
            <w:r w:rsidRPr="007C007B">
              <w:rPr>
                <w:rFonts w:cs="Arial"/>
                <w:color w:val="000000"/>
                <w:sz w:val="20"/>
              </w:rPr>
              <w:t> </w:t>
            </w:r>
          </w:p>
        </w:tc>
        <w:tc>
          <w:tcPr>
            <w:tcW w:w="1701" w:type="dxa"/>
            <w:tcBorders>
              <w:top w:val="nil"/>
              <w:left w:val="nil"/>
              <w:bottom w:val="nil"/>
              <w:right w:val="single" w:sz="4" w:space="0" w:color="auto"/>
            </w:tcBorders>
            <w:shd w:val="clear" w:color="auto" w:fill="auto"/>
            <w:noWrap/>
            <w:vAlign w:val="bottom"/>
            <w:hideMark/>
          </w:tcPr>
          <w:p w14:paraId="6FDCD289"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8A" w14:textId="77777777" w:rsidR="00883246" w:rsidRPr="007C007B" w:rsidRDefault="00883246" w:rsidP="00E3492D">
            <w:pPr>
              <w:rPr>
                <w:rFonts w:cs="Arial"/>
                <w:color w:val="000000"/>
                <w:sz w:val="20"/>
              </w:rPr>
            </w:pPr>
            <w:r w:rsidRPr="007C007B">
              <w:rPr>
                <w:rFonts w:cs="Arial"/>
                <w:color w:val="000000"/>
                <w:sz w:val="20"/>
              </w:rPr>
              <w:t> </w:t>
            </w:r>
          </w:p>
        </w:tc>
        <w:tc>
          <w:tcPr>
            <w:tcW w:w="1463" w:type="dxa"/>
            <w:tcBorders>
              <w:top w:val="nil"/>
              <w:left w:val="nil"/>
              <w:bottom w:val="nil"/>
              <w:right w:val="single" w:sz="4" w:space="0" w:color="auto"/>
            </w:tcBorders>
            <w:shd w:val="clear" w:color="auto" w:fill="auto"/>
            <w:noWrap/>
            <w:vAlign w:val="bottom"/>
            <w:hideMark/>
          </w:tcPr>
          <w:p w14:paraId="6FDCD28B"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93"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8D" w14:textId="77777777" w:rsidR="00883246" w:rsidRPr="007C007B" w:rsidRDefault="00883246" w:rsidP="00E3492D">
            <w:pPr>
              <w:rPr>
                <w:rFonts w:cs="Arial"/>
                <w:color w:val="000000"/>
                <w:sz w:val="20"/>
              </w:rPr>
            </w:pPr>
            <w:r w:rsidRPr="007C007B">
              <w:rPr>
                <w:rFonts w:cs="Arial"/>
                <w:color w:val="000000"/>
                <w:sz w:val="20"/>
              </w:rPr>
              <w:t>Chorley Borough Council</w:t>
            </w:r>
          </w:p>
        </w:tc>
        <w:tc>
          <w:tcPr>
            <w:tcW w:w="1276" w:type="dxa"/>
            <w:tcBorders>
              <w:top w:val="nil"/>
              <w:left w:val="nil"/>
              <w:bottom w:val="nil"/>
              <w:right w:val="single" w:sz="4" w:space="0" w:color="auto"/>
            </w:tcBorders>
            <w:shd w:val="clear" w:color="auto" w:fill="auto"/>
            <w:noWrap/>
            <w:vAlign w:val="bottom"/>
            <w:hideMark/>
          </w:tcPr>
          <w:p w14:paraId="6FDCD28E" w14:textId="77777777" w:rsidR="00883246" w:rsidRPr="007C007B" w:rsidRDefault="00883246" w:rsidP="00E3492D">
            <w:pPr>
              <w:rPr>
                <w:rFonts w:cs="Arial"/>
                <w:color w:val="000000"/>
                <w:sz w:val="20"/>
              </w:rPr>
            </w:pPr>
            <w:r w:rsidRPr="007C007B">
              <w:rPr>
                <w:rFonts w:cs="Arial"/>
                <w:color w:val="000000"/>
                <w:sz w:val="20"/>
              </w:rPr>
              <w:t> </w:t>
            </w:r>
          </w:p>
        </w:tc>
        <w:tc>
          <w:tcPr>
            <w:tcW w:w="1276" w:type="dxa"/>
            <w:tcBorders>
              <w:top w:val="nil"/>
              <w:left w:val="nil"/>
              <w:bottom w:val="nil"/>
              <w:right w:val="single" w:sz="4" w:space="0" w:color="auto"/>
            </w:tcBorders>
            <w:shd w:val="clear" w:color="auto" w:fill="auto"/>
            <w:noWrap/>
            <w:vAlign w:val="bottom"/>
            <w:hideMark/>
          </w:tcPr>
          <w:p w14:paraId="6FDCD28F" w14:textId="77777777" w:rsidR="00883246" w:rsidRPr="007C007B" w:rsidRDefault="00883246" w:rsidP="00E3492D">
            <w:pPr>
              <w:jc w:val="right"/>
              <w:rPr>
                <w:rFonts w:cs="Arial"/>
                <w:color w:val="000000"/>
                <w:sz w:val="20"/>
              </w:rPr>
            </w:pPr>
            <w:r w:rsidRPr="007C007B">
              <w:rPr>
                <w:rFonts w:cs="Arial"/>
                <w:color w:val="000000"/>
                <w:sz w:val="20"/>
              </w:rPr>
              <w:t>784,212</w:t>
            </w:r>
          </w:p>
        </w:tc>
        <w:tc>
          <w:tcPr>
            <w:tcW w:w="1701" w:type="dxa"/>
            <w:tcBorders>
              <w:top w:val="nil"/>
              <w:left w:val="nil"/>
              <w:bottom w:val="nil"/>
              <w:right w:val="single" w:sz="4" w:space="0" w:color="auto"/>
            </w:tcBorders>
            <w:shd w:val="clear" w:color="auto" w:fill="auto"/>
            <w:noWrap/>
            <w:vAlign w:val="bottom"/>
            <w:hideMark/>
          </w:tcPr>
          <w:p w14:paraId="6FDCD290"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91" w14:textId="77777777" w:rsidR="00883246" w:rsidRPr="007C007B" w:rsidRDefault="00883246" w:rsidP="00E3492D">
            <w:pPr>
              <w:rPr>
                <w:rFonts w:cs="Arial"/>
                <w:color w:val="000000"/>
                <w:sz w:val="20"/>
              </w:rPr>
            </w:pPr>
            <w:r w:rsidRPr="007C007B">
              <w:rPr>
                <w:rFonts w:cs="Arial"/>
                <w:color w:val="000000"/>
                <w:sz w:val="20"/>
              </w:rPr>
              <w:t> </w:t>
            </w:r>
          </w:p>
        </w:tc>
        <w:tc>
          <w:tcPr>
            <w:tcW w:w="1463" w:type="dxa"/>
            <w:tcBorders>
              <w:top w:val="nil"/>
              <w:left w:val="nil"/>
              <w:bottom w:val="nil"/>
              <w:right w:val="single" w:sz="4" w:space="0" w:color="auto"/>
            </w:tcBorders>
            <w:shd w:val="clear" w:color="auto" w:fill="auto"/>
            <w:noWrap/>
            <w:vAlign w:val="bottom"/>
            <w:hideMark/>
          </w:tcPr>
          <w:p w14:paraId="6FDCD292"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9A" w14:textId="77777777" w:rsidTr="00156E1F">
        <w:trPr>
          <w:trHeight w:val="285"/>
        </w:trPr>
        <w:tc>
          <w:tcPr>
            <w:tcW w:w="3544" w:type="dxa"/>
            <w:tcBorders>
              <w:top w:val="nil"/>
              <w:left w:val="single" w:sz="4" w:space="0" w:color="auto"/>
              <w:bottom w:val="nil"/>
              <w:right w:val="single" w:sz="4" w:space="0" w:color="auto"/>
            </w:tcBorders>
            <w:shd w:val="clear" w:color="auto" w:fill="auto"/>
            <w:noWrap/>
            <w:vAlign w:val="bottom"/>
            <w:hideMark/>
          </w:tcPr>
          <w:p w14:paraId="6FDCD294" w14:textId="77777777" w:rsidR="00883246" w:rsidRPr="007C007B" w:rsidRDefault="00883246" w:rsidP="00E3492D">
            <w:pPr>
              <w:rPr>
                <w:rFonts w:cs="Arial"/>
                <w:color w:val="000000"/>
                <w:sz w:val="20"/>
              </w:rPr>
            </w:pPr>
            <w:r w:rsidRPr="007C007B">
              <w:rPr>
                <w:rFonts w:cs="Arial"/>
                <w:color w:val="000000"/>
                <w:sz w:val="20"/>
              </w:rPr>
              <w:t>South Ribble Borough Council</w:t>
            </w:r>
          </w:p>
        </w:tc>
        <w:tc>
          <w:tcPr>
            <w:tcW w:w="1276" w:type="dxa"/>
            <w:tcBorders>
              <w:top w:val="nil"/>
              <w:left w:val="nil"/>
              <w:bottom w:val="nil"/>
              <w:right w:val="single" w:sz="4" w:space="0" w:color="auto"/>
            </w:tcBorders>
            <w:shd w:val="clear" w:color="auto" w:fill="auto"/>
            <w:noWrap/>
            <w:vAlign w:val="bottom"/>
            <w:hideMark/>
          </w:tcPr>
          <w:p w14:paraId="6FDCD295" w14:textId="77777777" w:rsidR="00883246" w:rsidRPr="007C007B" w:rsidRDefault="00883246" w:rsidP="00E3492D">
            <w:pPr>
              <w:rPr>
                <w:rFonts w:cs="Arial"/>
                <w:color w:val="000000"/>
                <w:sz w:val="20"/>
              </w:rPr>
            </w:pPr>
            <w:r w:rsidRPr="007C007B">
              <w:rPr>
                <w:rFonts w:cs="Arial"/>
                <w:color w:val="000000"/>
                <w:sz w:val="20"/>
              </w:rPr>
              <w:t> </w:t>
            </w:r>
          </w:p>
        </w:tc>
        <w:tc>
          <w:tcPr>
            <w:tcW w:w="1276" w:type="dxa"/>
            <w:tcBorders>
              <w:top w:val="nil"/>
              <w:left w:val="nil"/>
              <w:bottom w:val="nil"/>
              <w:right w:val="single" w:sz="4" w:space="0" w:color="auto"/>
            </w:tcBorders>
            <w:shd w:val="clear" w:color="auto" w:fill="auto"/>
            <w:noWrap/>
            <w:vAlign w:val="bottom"/>
            <w:hideMark/>
          </w:tcPr>
          <w:p w14:paraId="6FDCD296" w14:textId="77777777" w:rsidR="00883246" w:rsidRPr="007C007B" w:rsidRDefault="00883246" w:rsidP="00E3492D">
            <w:pPr>
              <w:jc w:val="right"/>
              <w:rPr>
                <w:rFonts w:cs="Arial"/>
                <w:color w:val="000000"/>
                <w:sz w:val="20"/>
              </w:rPr>
            </w:pPr>
            <w:r w:rsidRPr="007C007B">
              <w:rPr>
                <w:rFonts w:cs="Arial"/>
                <w:color w:val="000000"/>
                <w:sz w:val="20"/>
              </w:rPr>
              <w:t>819,386</w:t>
            </w:r>
          </w:p>
        </w:tc>
        <w:tc>
          <w:tcPr>
            <w:tcW w:w="1701" w:type="dxa"/>
            <w:tcBorders>
              <w:top w:val="nil"/>
              <w:left w:val="nil"/>
              <w:bottom w:val="nil"/>
              <w:right w:val="single" w:sz="4" w:space="0" w:color="auto"/>
            </w:tcBorders>
            <w:shd w:val="clear" w:color="auto" w:fill="auto"/>
            <w:noWrap/>
            <w:vAlign w:val="bottom"/>
            <w:hideMark/>
          </w:tcPr>
          <w:p w14:paraId="6FDCD297" w14:textId="77777777" w:rsidR="00883246" w:rsidRPr="007C007B" w:rsidRDefault="00883246" w:rsidP="00E3492D">
            <w:pPr>
              <w:rPr>
                <w:rFonts w:cs="Arial"/>
                <w:color w:val="000000"/>
                <w:sz w:val="20"/>
              </w:rPr>
            </w:pPr>
            <w:r w:rsidRPr="007C007B">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FDCD298" w14:textId="77777777" w:rsidR="00883246" w:rsidRPr="007C007B" w:rsidRDefault="00883246" w:rsidP="00E3492D">
            <w:pPr>
              <w:rPr>
                <w:rFonts w:cs="Arial"/>
                <w:color w:val="000000"/>
                <w:sz w:val="20"/>
              </w:rPr>
            </w:pPr>
            <w:r w:rsidRPr="007C007B">
              <w:rPr>
                <w:rFonts w:cs="Arial"/>
                <w:color w:val="000000"/>
                <w:sz w:val="20"/>
              </w:rPr>
              <w:t> </w:t>
            </w:r>
          </w:p>
        </w:tc>
        <w:tc>
          <w:tcPr>
            <w:tcW w:w="1463" w:type="dxa"/>
            <w:tcBorders>
              <w:top w:val="nil"/>
              <w:left w:val="nil"/>
              <w:bottom w:val="nil"/>
              <w:right w:val="single" w:sz="4" w:space="0" w:color="auto"/>
            </w:tcBorders>
            <w:shd w:val="clear" w:color="auto" w:fill="auto"/>
            <w:noWrap/>
            <w:vAlign w:val="bottom"/>
            <w:hideMark/>
          </w:tcPr>
          <w:p w14:paraId="6FDCD299"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A1" w14:textId="77777777" w:rsidTr="00156E1F">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DCD29B" w14:textId="77777777" w:rsidR="00883246" w:rsidRPr="007C007B" w:rsidRDefault="00883246" w:rsidP="00E3492D">
            <w:pPr>
              <w:rPr>
                <w:rFonts w:cs="Arial"/>
                <w:b/>
                <w:bCs/>
                <w:color w:val="000000"/>
                <w:sz w:val="20"/>
              </w:rPr>
            </w:pPr>
            <w:r w:rsidRPr="007C007B">
              <w:rPr>
                <w:rFonts w:cs="Arial"/>
                <w:b/>
                <w:bCs/>
                <w:color w:val="000000"/>
                <w:sz w:val="20"/>
              </w:rPr>
              <w:t>Total Funding</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6FDCD29C" w14:textId="77777777" w:rsidR="00883246" w:rsidRPr="007C007B" w:rsidRDefault="00883246" w:rsidP="00E3492D">
            <w:pPr>
              <w:rPr>
                <w:rFonts w:cs="Arial"/>
                <w:b/>
                <w:bCs/>
                <w:color w:val="000000"/>
                <w:sz w:val="20"/>
              </w:rPr>
            </w:pPr>
            <w:r w:rsidRPr="007C007B">
              <w:rPr>
                <w:rFonts w:cs="Arial"/>
                <w:b/>
                <w:bCs/>
                <w:color w:val="000000"/>
                <w:sz w:val="20"/>
              </w:rPr>
              <w:t> </w:t>
            </w:r>
          </w:p>
        </w:tc>
        <w:tc>
          <w:tcPr>
            <w:tcW w:w="1276" w:type="dxa"/>
            <w:tcBorders>
              <w:top w:val="single" w:sz="4" w:space="0" w:color="auto"/>
              <w:left w:val="nil"/>
              <w:bottom w:val="single" w:sz="4" w:space="0" w:color="auto"/>
              <w:right w:val="single" w:sz="4" w:space="0" w:color="auto"/>
            </w:tcBorders>
            <w:shd w:val="clear" w:color="000000" w:fill="D9D9D9"/>
            <w:noWrap/>
            <w:vAlign w:val="bottom"/>
            <w:hideMark/>
          </w:tcPr>
          <w:p w14:paraId="6FDCD29D" w14:textId="77777777" w:rsidR="00883246" w:rsidRPr="007C007B" w:rsidRDefault="00883246" w:rsidP="00E3492D">
            <w:pPr>
              <w:jc w:val="right"/>
              <w:rPr>
                <w:rFonts w:cs="Arial"/>
                <w:b/>
                <w:bCs/>
                <w:color w:val="000000"/>
                <w:sz w:val="20"/>
              </w:rPr>
            </w:pPr>
            <w:r w:rsidRPr="007C007B">
              <w:rPr>
                <w:rFonts w:cs="Arial"/>
                <w:b/>
                <w:bCs/>
                <w:color w:val="000000"/>
                <w:sz w:val="20"/>
              </w:rPr>
              <w:t>1,603,598</w:t>
            </w:r>
          </w:p>
        </w:tc>
        <w:tc>
          <w:tcPr>
            <w:tcW w:w="1701" w:type="dxa"/>
            <w:tcBorders>
              <w:top w:val="single" w:sz="4" w:space="0" w:color="auto"/>
              <w:left w:val="nil"/>
              <w:bottom w:val="single" w:sz="4" w:space="0" w:color="auto"/>
              <w:right w:val="single" w:sz="4" w:space="0" w:color="auto"/>
            </w:tcBorders>
            <w:shd w:val="clear" w:color="000000" w:fill="D9D9D9"/>
            <w:noWrap/>
            <w:vAlign w:val="bottom"/>
            <w:hideMark/>
          </w:tcPr>
          <w:p w14:paraId="6FDCD29E" w14:textId="77777777" w:rsidR="00883246" w:rsidRPr="007C007B" w:rsidRDefault="00883246" w:rsidP="00E3492D">
            <w:pPr>
              <w:rPr>
                <w:rFonts w:cs="Arial"/>
                <w:b/>
                <w:bCs/>
                <w:color w:val="000000"/>
                <w:sz w:val="20"/>
              </w:rPr>
            </w:pPr>
            <w:r w:rsidRPr="007C007B">
              <w:rPr>
                <w:rFonts w:cs="Arial"/>
                <w:b/>
                <w:bCs/>
                <w:color w:val="000000"/>
                <w:sz w:val="20"/>
              </w:rPr>
              <w:t> </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6FDCD29F" w14:textId="77777777" w:rsidR="00883246" w:rsidRPr="007C007B" w:rsidRDefault="00883246" w:rsidP="00E3492D">
            <w:pPr>
              <w:rPr>
                <w:rFonts w:cs="Arial"/>
                <w:b/>
                <w:bCs/>
                <w:color w:val="000000"/>
                <w:sz w:val="20"/>
              </w:rPr>
            </w:pPr>
            <w:r w:rsidRPr="007C007B">
              <w:rPr>
                <w:rFonts w:cs="Arial"/>
                <w:b/>
                <w:bCs/>
                <w:color w:val="000000"/>
                <w:sz w:val="20"/>
              </w:rPr>
              <w:t> </w:t>
            </w:r>
          </w:p>
        </w:tc>
        <w:tc>
          <w:tcPr>
            <w:tcW w:w="1463" w:type="dxa"/>
            <w:tcBorders>
              <w:top w:val="single" w:sz="4" w:space="0" w:color="auto"/>
              <w:left w:val="nil"/>
              <w:bottom w:val="single" w:sz="4" w:space="0" w:color="auto"/>
              <w:right w:val="single" w:sz="4" w:space="0" w:color="auto"/>
            </w:tcBorders>
            <w:shd w:val="clear" w:color="000000" w:fill="D9D9D9"/>
            <w:noWrap/>
            <w:vAlign w:val="bottom"/>
            <w:hideMark/>
          </w:tcPr>
          <w:p w14:paraId="6FDCD2A0" w14:textId="77777777" w:rsidR="00883246" w:rsidRPr="007C007B" w:rsidRDefault="00883246" w:rsidP="00E3492D">
            <w:pPr>
              <w:rPr>
                <w:rFonts w:cs="Arial"/>
                <w:color w:val="000000"/>
                <w:sz w:val="20"/>
              </w:rPr>
            </w:pPr>
            <w:r w:rsidRPr="007C007B">
              <w:rPr>
                <w:rFonts w:cs="Arial"/>
                <w:color w:val="000000"/>
                <w:sz w:val="20"/>
              </w:rPr>
              <w:t> </w:t>
            </w:r>
          </w:p>
        </w:tc>
      </w:tr>
    </w:tbl>
    <w:p w14:paraId="6FDCD2A2" w14:textId="77777777" w:rsidR="00883246" w:rsidRDefault="00883246" w:rsidP="00883246">
      <w:pPr>
        <w:jc w:val="center"/>
        <w:rPr>
          <w:b/>
          <w:sz w:val="20"/>
        </w:rPr>
      </w:pPr>
    </w:p>
    <w:p w14:paraId="6FDCD2A3" w14:textId="77777777" w:rsidR="00883246" w:rsidRPr="0044697D" w:rsidRDefault="00883246" w:rsidP="00883246">
      <w:pPr>
        <w:jc w:val="center"/>
        <w:rPr>
          <w:b/>
          <w:sz w:val="20"/>
        </w:rPr>
      </w:pPr>
    </w:p>
    <w:p w14:paraId="6FDCD2A4" w14:textId="77777777" w:rsidR="00883246" w:rsidRDefault="00883246" w:rsidP="00883246">
      <w:pPr>
        <w:ind w:left="426"/>
        <w:jc w:val="center"/>
        <w:rPr>
          <w:b/>
          <w:szCs w:val="22"/>
        </w:rPr>
      </w:pPr>
      <w:r>
        <w:rPr>
          <w:b/>
          <w:szCs w:val="22"/>
        </w:rPr>
        <w:t>Out-turn Allocation Statement</w:t>
      </w:r>
    </w:p>
    <w:p w14:paraId="6FDCD2A5" w14:textId="77777777" w:rsidR="00883246" w:rsidRDefault="00883246" w:rsidP="00883246">
      <w:pPr>
        <w:ind w:left="426"/>
        <w:jc w:val="center"/>
        <w:rPr>
          <w:b/>
          <w:szCs w:val="22"/>
        </w:rPr>
      </w:pPr>
    </w:p>
    <w:tbl>
      <w:tblPr>
        <w:tblW w:w="10660" w:type="dxa"/>
        <w:tblInd w:w="-572" w:type="dxa"/>
        <w:tblLook w:val="04A0" w:firstRow="1" w:lastRow="0" w:firstColumn="1" w:lastColumn="0" w:noHBand="0" w:noVBand="1"/>
      </w:tblPr>
      <w:tblGrid>
        <w:gridCol w:w="1560"/>
        <w:gridCol w:w="1240"/>
        <w:gridCol w:w="1028"/>
        <w:gridCol w:w="1012"/>
        <w:gridCol w:w="2106"/>
        <w:gridCol w:w="1857"/>
        <w:gridCol w:w="1857"/>
      </w:tblGrid>
      <w:tr w:rsidR="00883246" w:rsidRPr="007C007B" w14:paraId="6FDCD2AD" w14:textId="77777777" w:rsidTr="00156E1F">
        <w:trPr>
          <w:trHeight w:val="866"/>
        </w:trPr>
        <w:tc>
          <w:tcPr>
            <w:tcW w:w="15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DCD2A6" w14:textId="77777777" w:rsidR="00883246" w:rsidRPr="007C007B" w:rsidRDefault="00883246" w:rsidP="00E3492D">
            <w:pPr>
              <w:rPr>
                <w:rFonts w:cs="Arial"/>
                <w:b/>
                <w:bCs/>
                <w:color w:val="000000"/>
                <w:sz w:val="20"/>
              </w:rPr>
            </w:pPr>
            <w:r w:rsidRPr="007C007B">
              <w:rPr>
                <w:rFonts w:cs="Arial"/>
                <w:b/>
                <w:bCs/>
                <w:color w:val="000000"/>
                <w:sz w:val="20"/>
              </w:rPr>
              <w:t>Description</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14:paraId="6FDCD2A7" w14:textId="77777777" w:rsidR="00883246" w:rsidRPr="007C007B" w:rsidRDefault="00883246" w:rsidP="00E3492D">
            <w:pPr>
              <w:jc w:val="center"/>
              <w:rPr>
                <w:rFonts w:cs="Arial"/>
                <w:b/>
                <w:bCs/>
                <w:color w:val="000000"/>
                <w:sz w:val="20"/>
              </w:rPr>
            </w:pPr>
            <w:r w:rsidRPr="007C007B">
              <w:rPr>
                <w:rFonts w:cs="Arial"/>
                <w:b/>
                <w:bCs/>
                <w:color w:val="000000"/>
                <w:sz w:val="20"/>
              </w:rPr>
              <w:t>TOTAL OUT-TURN £</w:t>
            </w:r>
          </w:p>
        </w:tc>
        <w:tc>
          <w:tcPr>
            <w:tcW w:w="1028" w:type="dxa"/>
            <w:tcBorders>
              <w:top w:val="single" w:sz="4" w:space="0" w:color="auto"/>
              <w:left w:val="nil"/>
              <w:bottom w:val="single" w:sz="4" w:space="0" w:color="auto"/>
              <w:right w:val="single" w:sz="4" w:space="0" w:color="auto"/>
            </w:tcBorders>
            <w:shd w:val="clear" w:color="000000" w:fill="D9D9D9"/>
            <w:vAlign w:val="bottom"/>
            <w:hideMark/>
          </w:tcPr>
          <w:p w14:paraId="6FDCD2A8" w14:textId="77777777" w:rsidR="00883246" w:rsidRPr="007C007B" w:rsidRDefault="00883246" w:rsidP="00E3492D">
            <w:pPr>
              <w:jc w:val="center"/>
              <w:rPr>
                <w:rFonts w:cs="Arial"/>
                <w:b/>
                <w:bCs/>
                <w:color w:val="000000"/>
                <w:sz w:val="20"/>
              </w:rPr>
            </w:pPr>
            <w:r w:rsidRPr="007C007B">
              <w:rPr>
                <w:rFonts w:cs="Arial"/>
                <w:b/>
                <w:bCs/>
                <w:color w:val="000000"/>
                <w:sz w:val="20"/>
              </w:rPr>
              <w:t>CBC OUT-TURN £</w:t>
            </w:r>
          </w:p>
        </w:tc>
        <w:tc>
          <w:tcPr>
            <w:tcW w:w="1012" w:type="dxa"/>
            <w:tcBorders>
              <w:top w:val="single" w:sz="4" w:space="0" w:color="auto"/>
              <w:left w:val="nil"/>
              <w:bottom w:val="single" w:sz="4" w:space="0" w:color="auto"/>
              <w:right w:val="single" w:sz="4" w:space="0" w:color="auto"/>
            </w:tcBorders>
            <w:shd w:val="clear" w:color="000000" w:fill="D9D9D9"/>
            <w:vAlign w:val="bottom"/>
            <w:hideMark/>
          </w:tcPr>
          <w:p w14:paraId="6FDCD2A9" w14:textId="77777777" w:rsidR="00883246" w:rsidRPr="007C007B" w:rsidRDefault="00883246" w:rsidP="00E3492D">
            <w:pPr>
              <w:jc w:val="center"/>
              <w:rPr>
                <w:rFonts w:cs="Arial"/>
                <w:b/>
                <w:bCs/>
                <w:color w:val="000000"/>
                <w:sz w:val="20"/>
              </w:rPr>
            </w:pPr>
            <w:r w:rsidRPr="007C007B">
              <w:rPr>
                <w:rFonts w:cs="Arial"/>
                <w:b/>
                <w:bCs/>
                <w:color w:val="000000"/>
                <w:sz w:val="20"/>
              </w:rPr>
              <w:t>SRBC OUT-TURN £</w:t>
            </w:r>
          </w:p>
        </w:tc>
        <w:tc>
          <w:tcPr>
            <w:tcW w:w="2106" w:type="dxa"/>
            <w:tcBorders>
              <w:top w:val="single" w:sz="4" w:space="0" w:color="auto"/>
              <w:left w:val="nil"/>
              <w:bottom w:val="single" w:sz="4" w:space="0" w:color="auto"/>
              <w:right w:val="single" w:sz="4" w:space="0" w:color="auto"/>
            </w:tcBorders>
            <w:shd w:val="clear" w:color="000000" w:fill="D9D9D9"/>
            <w:vAlign w:val="bottom"/>
            <w:hideMark/>
          </w:tcPr>
          <w:p w14:paraId="6FDCD2AA" w14:textId="77777777" w:rsidR="00883246" w:rsidRPr="007C007B" w:rsidRDefault="00883246" w:rsidP="00E3492D">
            <w:pPr>
              <w:rPr>
                <w:rFonts w:cs="Arial"/>
                <w:b/>
                <w:bCs/>
                <w:color w:val="000000"/>
                <w:sz w:val="20"/>
              </w:rPr>
            </w:pPr>
            <w:r w:rsidRPr="007C007B">
              <w:rPr>
                <w:rFonts w:cs="Arial"/>
                <w:b/>
                <w:bCs/>
                <w:color w:val="000000"/>
                <w:sz w:val="20"/>
              </w:rPr>
              <w:t>Explanation</w:t>
            </w:r>
          </w:p>
        </w:tc>
        <w:tc>
          <w:tcPr>
            <w:tcW w:w="1857" w:type="dxa"/>
            <w:tcBorders>
              <w:top w:val="single" w:sz="4" w:space="0" w:color="auto"/>
              <w:left w:val="nil"/>
              <w:bottom w:val="single" w:sz="4" w:space="0" w:color="auto"/>
              <w:right w:val="single" w:sz="4" w:space="0" w:color="auto"/>
            </w:tcBorders>
            <w:shd w:val="clear" w:color="000000" w:fill="D9D9D9"/>
            <w:vAlign w:val="bottom"/>
            <w:hideMark/>
          </w:tcPr>
          <w:p w14:paraId="6FDCD2AB" w14:textId="77777777" w:rsidR="00883246" w:rsidRPr="007C007B" w:rsidRDefault="00883246" w:rsidP="00E3492D">
            <w:pPr>
              <w:rPr>
                <w:rFonts w:cs="Arial"/>
                <w:b/>
                <w:bCs/>
                <w:color w:val="000000"/>
                <w:sz w:val="20"/>
              </w:rPr>
            </w:pPr>
            <w:r w:rsidRPr="007C007B">
              <w:rPr>
                <w:rFonts w:cs="Arial"/>
                <w:b/>
                <w:bCs/>
                <w:color w:val="000000"/>
                <w:sz w:val="20"/>
              </w:rPr>
              <w:t>Explanation</w:t>
            </w:r>
          </w:p>
        </w:tc>
        <w:tc>
          <w:tcPr>
            <w:tcW w:w="1857" w:type="dxa"/>
            <w:tcBorders>
              <w:top w:val="single" w:sz="4" w:space="0" w:color="auto"/>
              <w:left w:val="nil"/>
              <w:bottom w:val="single" w:sz="4" w:space="0" w:color="auto"/>
              <w:right w:val="single" w:sz="4" w:space="0" w:color="auto"/>
            </w:tcBorders>
            <w:shd w:val="clear" w:color="000000" w:fill="D9D9D9"/>
            <w:vAlign w:val="bottom"/>
            <w:hideMark/>
          </w:tcPr>
          <w:p w14:paraId="6FDCD2AC" w14:textId="77777777" w:rsidR="00883246" w:rsidRPr="007C007B" w:rsidRDefault="00883246" w:rsidP="00E3492D">
            <w:pPr>
              <w:rPr>
                <w:rFonts w:cs="Arial"/>
                <w:b/>
                <w:bCs/>
                <w:color w:val="000000"/>
                <w:sz w:val="20"/>
              </w:rPr>
            </w:pPr>
            <w:r w:rsidRPr="007C007B">
              <w:rPr>
                <w:rFonts w:cs="Arial"/>
                <w:b/>
                <w:bCs/>
                <w:color w:val="000000"/>
                <w:sz w:val="20"/>
              </w:rPr>
              <w:t>Explanation</w:t>
            </w:r>
          </w:p>
        </w:tc>
      </w:tr>
      <w:tr w:rsidR="00883246" w:rsidRPr="007C007B" w14:paraId="6FDCD2B5" w14:textId="77777777" w:rsidTr="00156E1F">
        <w:trPr>
          <w:trHeight w:val="171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DCD2AE" w14:textId="77777777" w:rsidR="00883246" w:rsidRPr="007C007B" w:rsidRDefault="00883246" w:rsidP="00E3492D">
            <w:pPr>
              <w:rPr>
                <w:rFonts w:cs="Arial"/>
                <w:color w:val="000000"/>
                <w:sz w:val="20"/>
              </w:rPr>
            </w:pPr>
            <w:r w:rsidRPr="007C007B">
              <w:rPr>
                <w:rFonts w:cs="Arial"/>
                <w:color w:val="000000"/>
                <w:sz w:val="20"/>
              </w:rPr>
              <w:t>Employee Costs</w:t>
            </w:r>
          </w:p>
        </w:tc>
        <w:tc>
          <w:tcPr>
            <w:tcW w:w="1240" w:type="dxa"/>
            <w:tcBorders>
              <w:top w:val="nil"/>
              <w:left w:val="nil"/>
              <w:bottom w:val="single" w:sz="4" w:space="0" w:color="auto"/>
              <w:right w:val="single" w:sz="4" w:space="0" w:color="auto"/>
            </w:tcBorders>
            <w:shd w:val="clear" w:color="auto" w:fill="auto"/>
            <w:vAlign w:val="center"/>
            <w:hideMark/>
          </w:tcPr>
          <w:p w14:paraId="6FDCD2AF" w14:textId="77777777" w:rsidR="00883246" w:rsidRPr="007C007B" w:rsidRDefault="00883246" w:rsidP="00E3492D">
            <w:pPr>
              <w:jc w:val="right"/>
              <w:rPr>
                <w:rFonts w:cs="Arial"/>
                <w:color w:val="000000"/>
                <w:sz w:val="20"/>
              </w:rPr>
            </w:pPr>
            <w:r w:rsidRPr="007C007B">
              <w:rPr>
                <w:rFonts w:cs="Arial"/>
                <w:color w:val="000000"/>
                <w:sz w:val="20"/>
              </w:rPr>
              <w:t>1,440,827</w:t>
            </w:r>
          </w:p>
        </w:tc>
        <w:tc>
          <w:tcPr>
            <w:tcW w:w="1028" w:type="dxa"/>
            <w:tcBorders>
              <w:top w:val="nil"/>
              <w:left w:val="nil"/>
              <w:bottom w:val="single" w:sz="4" w:space="0" w:color="auto"/>
              <w:right w:val="single" w:sz="4" w:space="0" w:color="auto"/>
            </w:tcBorders>
            <w:shd w:val="clear" w:color="auto" w:fill="auto"/>
            <w:vAlign w:val="center"/>
            <w:hideMark/>
          </w:tcPr>
          <w:p w14:paraId="6FDCD2B0" w14:textId="77777777" w:rsidR="00883246" w:rsidRPr="007C007B" w:rsidRDefault="00883246" w:rsidP="00E3492D">
            <w:pPr>
              <w:jc w:val="right"/>
              <w:rPr>
                <w:rFonts w:cs="Arial"/>
                <w:color w:val="000000"/>
                <w:sz w:val="20"/>
              </w:rPr>
            </w:pPr>
            <w:r w:rsidRPr="007C007B">
              <w:rPr>
                <w:rFonts w:cs="Arial"/>
                <w:color w:val="000000"/>
                <w:sz w:val="20"/>
              </w:rPr>
              <w:t>693,862</w:t>
            </w:r>
          </w:p>
        </w:tc>
        <w:tc>
          <w:tcPr>
            <w:tcW w:w="1012" w:type="dxa"/>
            <w:tcBorders>
              <w:top w:val="nil"/>
              <w:left w:val="nil"/>
              <w:bottom w:val="single" w:sz="4" w:space="0" w:color="auto"/>
              <w:right w:val="single" w:sz="4" w:space="0" w:color="auto"/>
            </w:tcBorders>
            <w:shd w:val="clear" w:color="auto" w:fill="auto"/>
            <w:vAlign w:val="center"/>
            <w:hideMark/>
          </w:tcPr>
          <w:p w14:paraId="6FDCD2B1" w14:textId="77777777" w:rsidR="00883246" w:rsidRPr="007C007B" w:rsidRDefault="00883246" w:rsidP="00E3492D">
            <w:pPr>
              <w:jc w:val="right"/>
              <w:rPr>
                <w:rFonts w:cs="Arial"/>
                <w:color w:val="000000"/>
                <w:sz w:val="20"/>
              </w:rPr>
            </w:pPr>
            <w:r w:rsidRPr="007C007B">
              <w:rPr>
                <w:rFonts w:cs="Arial"/>
                <w:color w:val="000000"/>
                <w:sz w:val="20"/>
              </w:rPr>
              <w:t>746,965</w:t>
            </w:r>
          </w:p>
        </w:tc>
        <w:tc>
          <w:tcPr>
            <w:tcW w:w="2106" w:type="dxa"/>
            <w:tcBorders>
              <w:top w:val="nil"/>
              <w:left w:val="nil"/>
              <w:bottom w:val="single" w:sz="4" w:space="0" w:color="auto"/>
              <w:right w:val="single" w:sz="4" w:space="0" w:color="auto"/>
            </w:tcBorders>
            <w:shd w:val="clear" w:color="auto" w:fill="auto"/>
            <w:vAlign w:val="bottom"/>
            <w:hideMark/>
          </w:tcPr>
          <w:p w14:paraId="6FDCD2B2" w14:textId="77777777" w:rsidR="00883246" w:rsidRPr="007C007B" w:rsidRDefault="00883246" w:rsidP="00E3492D">
            <w:pPr>
              <w:rPr>
                <w:rFonts w:cs="Arial"/>
                <w:color w:val="000000"/>
                <w:sz w:val="20"/>
              </w:rPr>
            </w:pPr>
            <w:r w:rsidRPr="007C007B">
              <w:rPr>
                <w:rFonts w:cs="Arial"/>
                <w:color w:val="000000"/>
                <w:sz w:val="20"/>
              </w:rPr>
              <w:t>(1) The structure of the Management Accountancy Teams vary at each council.</w:t>
            </w:r>
          </w:p>
        </w:tc>
        <w:tc>
          <w:tcPr>
            <w:tcW w:w="1857" w:type="dxa"/>
            <w:tcBorders>
              <w:top w:val="nil"/>
              <w:left w:val="nil"/>
              <w:bottom w:val="single" w:sz="4" w:space="0" w:color="auto"/>
              <w:right w:val="single" w:sz="4" w:space="0" w:color="auto"/>
            </w:tcBorders>
            <w:shd w:val="clear" w:color="auto" w:fill="auto"/>
            <w:vAlign w:val="bottom"/>
            <w:hideMark/>
          </w:tcPr>
          <w:p w14:paraId="6FDCD2B3" w14:textId="77777777" w:rsidR="00883246" w:rsidRPr="007C007B" w:rsidRDefault="00883246" w:rsidP="00E3492D">
            <w:pPr>
              <w:rPr>
                <w:rFonts w:cs="Arial"/>
                <w:color w:val="000000"/>
                <w:sz w:val="20"/>
              </w:rPr>
            </w:pPr>
            <w:r w:rsidRPr="007C007B">
              <w:rPr>
                <w:rFonts w:cs="Arial"/>
                <w:color w:val="000000"/>
                <w:sz w:val="20"/>
              </w:rPr>
              <w:t>(2) Different pension Contribution and Deficit Recovery Rates</w:t>
            </w:r>
          </w:p>
        </w:tc>
        <w:tc>
          <w:tcPr>
            <w:tcW w:w="1857" w:type="dxa"/>
            <w:tcBorders>
              <w:top w:val="nil"/>
              <w:left w:val="nil"/>
              <w:bottom w:val="single" w:sz="4" w:space="0" w:color="auto"/>
              <w:right w:val="single" w:sz="4" w:space="0" w:color="auto"/>
            </w:tcBorders>
            <w:shd w:val="clear" w:color="auto" w:fill="auto"/>
            <w:vAlign w:val="bottom"/>
            <w:hideMark/>
          </w:tcPr>
          <w:p w14:paraId="6FDCD2B4" w14:textId="77777777" w:rsidR="00883246" w:rsidRPr="007C007B" w:rsidRDefault="00883246" w:rsidP="00E3492D">
            <w:pPr>
              <w:rPr>
                <w:rFonts w:cs="Arial"/>
                <w:color w:val="000000"/>
                <w:sz w:val="20"/>
              </w:rPr>
            </w:pPr>
            <w:r w:rsidRPr="007C007B">
              <w:rPr>
                <w:rFonts w:cs="Arial"/>
                <w:color w:val="000000"/>
                <w:sz w:val="20"/>
              </w:rPr>
              <w:t>(3) Secondment of Head of Shared Financial Services to Section 151 post at SRBC and subsequent staff changes to cover.</w:t>
            </w:r>
          </w:p>
        </w:tc>
      </w:tr>
      <w:tr w:rsidR="00883246" w:rsidRPr="007C007B" w14:paraId="6FDCD2BD" w14:textId="77777777" w:rsidTr="00156E1F">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DCD2B6" w14:textId="77777777" w:rsidR="00883246" w:rsidRPr="007C007B" w:rsidRDefault="00883246" w:rsidP="00E3492D">
            <w:pPr>
              <w:rPr>
                <w:rFonts w:cs="Arial"/>
                <w:color w:val="000000"/>
                <w:sz w:val="20"/>
              </w:rPr>
            </w:pPr>
            <w:r w:rsidRPr="007C007B">
              <w:rPr>
                <w:rFonts w:cs="Arial"/>
                <w:color w:val="000000"/>
                <w:sz w:val="20"/>
              </w:rPr>
              <w:t>Transport</w:t>
            </w:r>
          </w:p>
        </w:tc>
        <w:tc>
          <w:tcPr>
            <w:tcW w:w="1240" w:type="dxa"/>
            <w:tcBorders>
              <w:top w:val="nil"/>
              <w:left w:val="nil"/>
              <w:bottom w:val="single" w:sz="4" w:space="0" w:color="auto"/>
              <w:right w:val="single" w:sz="4" w:space="0" w:color="auto"/>
            </w:tcBorders>
            <w:shd w:val="clear" w:color="auto" w:fill="auto"/>
            <w:vAlign w:val="center"/>
            <w:hideMark/>
          </w:tcPr>
          <w:p w14:paraId="6FDCD2B7" w14:textId="77777777" w:rsidR="00883246" w:rsidRPr="007C007B" w:rsidRDefault="00883246" w:rsidP="00E3492D">
            <w:pPr>
              <w:jc w:val="right"/>
              <w:rPr>
                <w:rFonts w:cs="Arial"/>
                <w:color w:val="000000"/>
                <w:sz w:val="20"/>
              </w:rPr>
            </w:pPr>
            <w:r w:rsidRPr="007C007B">
              <w:rPr>
                <w:rFonts w:cs="Arial"/>
                <w:color w:val="000000"/>
                <w:sz w:val="20"/>
              </w:rPr>
              <w:t>10,329</w:t>
            </w:r>
          </w:p>
        </w:tc>
        <w:tc>
          <w:tcPr>
            <w:tcW w:w="1028" w:type="dxa"/>
            <w:tcBorders>
              <w:top w:val="nil"/>
              <w:left w:val="nil"/>
              <w:bottom w:val="single" w:sz="4" w:space="0" w:color="auto"/>
              <w:right w:val="single" w:sz="4" w:space="0" w:color="auto"/>
            </w:tcBorders>
            <w:shd w:val="clear" w:color="auto" w:fill="auto"/>
            <w:vAlign w:val="center"/>
            <w:hideMark/>
          </w:tcPr>
          <w:p w14:paraId="6FDCD2B8" w14:textId="77777777" w:rsidR="00883246" w:rsidRPr="007C007B" w:rsidRDefault="00883246" w:rsidP="00E3492D">
            <w:pPr>
              <w:jc w:val="right"/>
              <w:rPr>
                <w:rFonts w:cs="Arial"/>
                <w:color w:val="000000"/>
                <w:sz w:val="20"/>
              </w:rPr>
            </w:pPr>
            <w:r w:rsidRPr="007C007B">
              <w:rPr>
                <w:rFonts w:cs="Arial"/>
                <w:color w:val="000000"/>
                <w:sz w:val="20"/>
              </w:rPr>
              <w:t>5,002</w:t>
            </w:r>
          </w:p>
        </w:tc>
        <w:tc>
          <w:tcPr>
            <w:tcW w:w="1012" w:type="dxa"/>
            <w:tcBorders>
              <w:top w:val="nil"/>
              <w:left w:val="nil"/>
              <w:bottom w:val="single" w:sz="4" w:space="0" w:color="auto"/>
              <w:right w:val="single" w:sz="4" w:space="0" w:color="auto"/>
            </w:tcBorders>
            <w:shd w:val="clear" w:color="auto" w:fill="auto"/>
            <w:vAlign w:val="center"/>
            <w:hideMark/>
          </w:tcPr>
          <w:p w14:paraId="6FDCD2B9" w14:textId="77777777" w:rsidR="00883246" w:rsidRPr="007C007B" w:rsidRDefault="00883246" w:rsidP="00E3492D">
            <w:pPr>
              <w:jc w:val="right"/>
              <w:rPr>
                <w:rFonts w:cs="Arial"/>
                <w:color w:val="000000"/>
                <w:sz w:val="20"/>
              </w:rPr>
            </w:pPr>
            <w:r w:rsidRPr="007C007B">
              <w:rPr>
                <w:rFonts w:cs="Arial"/>
                <w:color w:val="000000"/>
                <w:sz w:val="20"/>
              </w:rPr>
              <w:t>5,327</w:t>
            </w:r>
          </w:p>
        </w:tc>
        <w:tc>
          <w:tcPr>
            <w:tcW w:w="2106" w:type="dxa"/>
            <w:tcBorders>
              <w:top w:val="nil"/>
              <w:left w:val="nil"/>
              <w:bottom w:val="single" w:sz="4" w:space="0" w:color="auto"/>
              <w:right w:val="single" w:sz="4" w:space="0" w:color="auto"/>
            </w:tcBorders>
            <w:shd w:val="clear" w:color="auto" w:fill="auto"/>
            <w:vAlign w:val="bottom"/>
            <w:hideMark/>
          </w:tcPr>
          <w:p w14:paraId="6FDCD2BA" w14:textId="77777777" w:rsidR="00883246" w:rsidRPr="007C007B" w:rsidRDefault="00883246" w:rsidP="00E3492D">
            <w:pPr>
              <w:rPr>
                <w:rFonts w:cs="Arial"/>
                <w:color w:val="000000"/>
                <w:sz w:val="20"/>
              </w:rPr>
            </w:pPr>
            <w:r w:rsidRPr="007C007B">
              <w:rPr>
                <w:rFonts w:cs="Arial"/>
                <w:color w:val="000000"/>
                <w:sz w:val="20"/>
              </w:rPr>
              <w:t> </w:t>
            </w:r>
          </w:p>
        </w:tc>
        <w:tc>
          <w:tcPr>
            <w:tcW w:w="1857" w:type="dxa"/>
            <w:tcBorders>
              <w:top w:val="nil"/>
              <w:left w:val="nil"/>
              <w:bottom w:val="single" w:sz="4" w:space="0" w:color="auto"/>
              <w:right w:val="single" w:sz="4" w:space="0" w:color="auto"/>
            </w:tcBorders>
            <w:shd w:val="clear" w:color="auto" w:fill="auto"/>
            <w:vAlign w:val="bottom"/>
            <w:hideMark/>
          </w:tcPr>
          <w:p w14:paraId="6FDCD2BB" w14:textId="77777777" w:rsidR="00883246" w:rsidRPr="007C007B" w:rsidRDefault="00883246" w:rsidP="00E3492D">
            <w:pPr>
              <w:rPr>
                <w:rFonts w:cs="Arial"/>
                <w:color w:val="000000"/>
                <w:sz w:val="20"/>
              </w:rPr>
            </w:pPr>
            <w:r w:rsidRPr="007C007B">
              <w:rPr>
                <w:rFonts w:cs="Arial"/>
                <w:color w:val="000000"/>
                <w:sz w:val="20"/>
              </w:rPr>
              <w:t> </w:t>
            </w:r>
          </w:p>
        </w:tc>
        <w:tc>
          <w:tcPr>
            <w:tcW w:w="1857" w:type="dxa"/>
            <w:tcBorders>
              <w:top w:val="nil"/>
              <w:left w:val="nil"/>
              <w:bottom w:val="single" w:sz="4" w:space="0" w:color="auto"/>
              <w:right w:val="single" w:sz="4" w:space="0" w:color="auto"/>
            </w:tcBorders>
            <w:shd w:val="clear" w:color="auto" w:fill="auto"/>
            <w:vAlign w:val="bottom"/>
            <w:hideMark/>
          </w:tcPr>
          <w:p w14:paraId="6FDCD2BC"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C5" w14:textId="77777777" w:rsidTr="00156E1F">
        <w:trPr>
          <w:trHeight w:val="142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DCD2BE" w14:textId="77777777" w:rsidR="00883246" w:rsidRPr="007C007B" w:rsidRDefault="00883246" w:rsidP="00E3492D">
            <w:pPr>
              <w:rPr>
                <w:rFonts w:cs="Arial"/>
                <w:color w:val="000000"/>
                <w:sz w:val="20"/>
              </w:rPr>
            </w:pPr>
            <w:r w:rsidRPr="007C007B">
              <w:rPr>
                <w:rFonts w:cs="Arial"/>
                <w:color w:val="000000"/>
                <w:sz w:val="20"/>
              </w:rPr>
              <w:t>Supplies &amp; Services</w:t>
            </w:r>
          </w:p>
        </w:tc>
        <w:tc>
          <w:tcPr>
            <w:tcW w:w="1240" w:type="dxa"/>
            <w:tcBorders>
              <w:top w:val="nil"/>
              <w:left w:val="nil"/>
              <w:bottom w:val="single" w:sz="4" w:space="0" w:color="auto"/>
              <w:right w:val="single" w:sz="4" w:space="0" w:color="auto"/>
            </w:tcBorders>
            <w:shd w:val="clear" w:color="auto" w:fill="auto"/>
            <w:vAlign w:val="center"/>
            <w:hideMark/>
          </w:tcPr>
          <w:p w14:paraId="6FDCD2BF" w14:textId="77777777" w:rsidR="00883246" w:rsidRPr="007C007B" w:rsidRDefault="00883246" w:rsidP="00E3492D">
            <w:pPr>
              <w:jc w:val="right"/>
              <w:rPr>
                <w:rFonts w:cs="Arial"/>
                <w:color w:val="000000"/>
                <w:sz w:val="20"/>
              </w:rPr>
            </w:pPr>
            <w:r w:rsidRPr="007C007B">
              <w:rPr>
                <w:rFonts w:cs="Arial"/>
                <w:color w:val="000000"/>
                <w:sz w:val="20"/>
              </w:rPr>
              <w:t>53,238</w:t>
            </w:r>
          </w:p>
        </w:tc>
        <w:tc>
          <w:tcPr>
            <w:tcW w:w="1028" w:type="dxa"/>
            <w:tcBorders>
              <w:top w:val="nil"/>
              <w:left w:val="nil"/>
              <w:bottom w:val="single" w:sz="4" w:space="0" w:color="auto"/>
              <w:right w:val="single" w:sz="4" w:space="0" w:color="auto"/>
            </w:tcBorders>
            <w:shd w:val="clear" w:color="auto" w:fill="auto"/>
            <w:vAlign w:val="center"/>
            <w:hideMark/>
          </w:tcPr>
          <w:p w14:paraId="6FDCD2C0" w14:textId="77777777" w:rsidR="00883246" w:rsidRPr="007C007B" w:rsidRDefault="00883246" w:rsidP="00E3492D">
            <w:pPr>
              <w:jc w:val="right"/>
              <w:rPr>
                <w:rFonts w:cs="Arial"/>
                <w:color w:val="000000"/>
                <w:sz w:val="20"/>
              </w:rPr>
            </w:pPr>
            <w:r w:rsidRPr="007C007B">
              <w:rPr>
                <w:rFonts w:cs="Arial"/>
                <w:color w:val="000000"/>
                <w:sz w:val="20"/>
              </w:rPr>
              <w:t>29,463</w:t>
            </w:r>
          </w:p>
        </w:tc>
        <w:tc>
          <w:tcPr>
            <w:tcW w:w="1012" w:type="dxa"/>
            <w:tcBorders>
              <w:top w:val="nil"/>
              <w:left w:val="nil"/>
              <w:bottom w:val="single" w:sz="4" w:space="0" w:color="auto"/>
              <w:right w:val="single" w:sz="4" w:space="0" w:color="auto"/>
            </w:tcBorders>
            <w:shd w:val="clear" w:color="auto" w:fill="auto"/>
            <w:vAlign w:val="center"/>
            <w:hideMark/>
          </w:tcPr>
          <w:p w14:paraId="6FDCD2C1" w14:textId="77777777" w:rsidR="00883246" w:rsidRPr="007C007B" w:rsidRDefault="00883246" w:rsidP="00E3492D">
            <w:pPr>
              <w:jc w:val="right"/>
              <w:rPr>
                <w:rFonts w:cs="Arial"/>
                <w:color w:val="000000"/>
                <w:sz w:val="20"/>
              </w:rPr>
            </w:pPr>
            <w:r w:rsidRPr="007C007B">
              <w:rPr>
                <w:rFonts w:cs="Arial"/>
                <w:color w:val="000000"/>
                <w:sz w:val="20"/>
              </w:rPr>
              <w:t>23,776</w:t>
            </w:r>
          </w:p>
        </w:tc>
        <w:tc>
          <w:tcPr>
            <w:tcW w:w="2106" w:type="dxa"/>
            <w:tcBorders>
              <w:top w:val="nil"/>
              <w:left w:val="nil"/>
              <w:bottom w:val="single" w:sz="4" w:space="0" w:color="auto"/>
              <w:right w:val="single" w:sz="4" w:space="0" w:color="auto"/>
            </w:tcBorders>
            <w:shd w:val="clear" w:color="auto" w:fill="auto"/>
            <w:vAlign w:val="bottom"/>
            <w:hideMark/>
          </w:tcPr>
          <w:p w14:paraId="6FDCD2C2" w14:textId="77777777" w:rsidR="00883246" w:rsidRPr="007C007B" w:rsidRDefault="00883246" w:rsidP="00E3492D">
            <w:pPr>
              <w:rPr>
                <w:rFonts w:cs="Arial"/>
                <w:color w:val="000000"/>
                <w:sz w:val="20"/>
              </w:rPr>
            </w:pPr>
            <w:r w:rsidRPr="007C007B">
              <w:rPr>
                <w:rFonts w:cs="Arial"/>
                <w:color w:val="000000"/>
                <w:sz w:val="20"/>
              </w:rPr>
              <w:t>(1) There are some differences in processes, e.g. company checks.</w:t>
            </w:r>
          </w:p>
        </w:tc>
        <w:tc>
          <w:tcPr>
            <w:tcW w:w="1857" w:type="dxa"/>
            <w:tcBorders>
              <w:top w:val="nil"/>
              <w:left w:val="nil"/>
              <w:bottom w:val="single" w:sz="4" w:space="0" w:color="auto"/>
              <w:right w:val="single" w:sz="4" w:space="0" w:color="auto"/>
            </w:tcBorders>
            <w:shd w:val="clear" w:color="auto" w:fill="auto"/>
            <w:vAlign w:val="bottom"/>
            <w:hideMark/>
          </w:tcPr>
          <w:p w14:paraId="6FDCD2C3" w14:textId="77777777" w:rsidR="00883246" w:rsidRPr="007C007B" w:rsidRDefault="00883246" w:rsidP="00E3492D">
            <w:pPr>
              <w:rPr>
                <w:rFonts w:cs="Arial"/>
                <w:color w:val="000000"/>
                <w:sz w:val="20"/>
              </w:rPr>
            </w:pPr>
            <w:r w:rsidRPr="007C007B">
              <w:rPr>
                <w:rFonts w:cs="Arial"/>
                <w:color w:val="000000"/>
                <w:sz w:val="20"/>
              </w:rPr>
              <w:t>(2) Cost of professional advice at each council, e.g. legal fees, consultancy fees and company checks</w:t>
            </w:r>
          </w:p>
        </w:tc>
        <w:tc>
          <w:tcPr>
            <w:tcW w:w="1857" w:type="dxa"/>
            <w:tcBorders>
              <w:top w:val="nil"/>
              <w:left w:val="nil"/>
              <w:bottom w:val="single" w:sz="4" w:space="0" w:color="auto"/>
              <w:right w:val="single" w:sz="4" w:space="0" w:color="auto"/>
            </w:tcBorders>
            <w:shd w:val="clear" w:color="auto" w:fill="auto"/>
            <w:vAlign w:val="bottom"/>
            <w:hideMark/>
          </w:tcPr>
          <w:p w14:paraId="6FDCD2C4"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CD" w14:textId="77777777" w:rsidTr="00156E1F">
        <w:trPr>
          <w:trHeight w:val="28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DCD2C6" w14:textId="77777777" w:rsidR="00883246" w:rsidRPr="007C007B" w:rsidRDefault="00883246" w:rsidP="00E3492D">
            <w:pPr>
              <w:rPr>
                <w:rFonts w:cs="Arial"/>
                <w:color w:val="000000"/>
                <w:sz w:val="20"/>
              </w:rPr>
            </w:pPr>
            <w:r w:rsidRPr="007C007B">
              <w:rPr>
                <w:rFonts w:cs="Arial"/>
                <w:color w:val="000000"/>
                <w:sz w:val="20"/>
              </w:rPr>
              <w:t>LCC Audit Budget</w:t>
            </w:r>
          </w:p>
        </w:tc>
        <w:tc>
          <w:tcPr>
            <w:tcW w:w="1240" w:type="dxa"/>
            <w:tcBorders>
              <w:top w:val="nil"/>
              <w:left w:val="nil"/>
              <w:bottom w:val="single" w:sz="4" w:space="0" w:color="auto"/>
              <w:right w:val="single" w:sz="4" w:space="0" w:color="auto"/>
            </w:tcBorders>
            <w:shd w:val="clear" w:color="auto" w:fill="auto"/>
            <w:vAlign w:val="center"/>
            <w:hideMark/>
          </w:tcPr>
          <w:p w14:paraId="6FDCD2C7" w14:textId="77777777" w:rsidR="00883246" w:rsidRPr="007C007B" w:rsidRDefault="00883246" w:rsidP="00E3492D">
            <w:pPr>
              <w:jc w:val="right"/>
              <w:rPr>
                <w:rFonts w:cs="Arial"/>
                <w:color w:val="000000"/>
                <w:sz w:val="20"/>
              </w:rPr>
            </w:pPr>
            <w:r w:rsidRPr="007C007B">
              <w:rPr>
                <w:rFonts w:cs="Arial"/>
                <w:color w:val="000000"/>
                <w:sz w:val="20"/>
              </w:rPr>
              <w:t>4,355</w:t>
            </w:r>
          </w:p>
        </w:tc>
        <w:tc>
          <w:tcPr>
            <w:tcW w:w="1028" w:type="dxa"/>
            <w:tcBorders>
              <w:top w:val="nil"/>
              <w:left w:val="nil"/>
              <w:bottom w:val="single" w:sz="4" w:space="0" w:color="auto"/>
              <w:right w:val="single" w:sz="4" w:space="0" w:color="auto"/>
            </w:tcBorders>
            <w:shd w:val="clear" w:color="auto" w:fill="auto"/>
            <w:vAlign w:val="center"/>
            <w:hideMark/>
          </w:tcPr>
          <w:p w14:paraId="6FDCD2C8" w14:textId="77777777" w:rsidR="00883246" w:rsidRPr="007C007B" w:rsidRDefault="00883246" w:rsidP="00E3492D">
            <w:pPr>
              <w:jc w:val="right"/>
              <w:rPr>
                <w:rFonts w:cs="Arial"/>
                <w:color w:val="000000"/>
                <w:sz w:val="20"/>
              </w:rPr>
            </w:pPr>
            <w:r w:rsidRPr="007C007B">
              <w:rPr>
                <w:rFonts w:cs="Arial"/>
                <w:color w:val="000000"/>
                <w:sz w:val="20"/>
              </w:rPr>
              <w:t>2,178</w:t>
            </w:r>
          </w:p>
        </w:tc>
        <w:tc>
          <w:tcPr>
            <w:tcW w:w="1012" w:type="dxa"/>
            <w:tcBorders>
              <w:top w:val="nil"/>
              <w:left w:val="nil"/>
              <w:bottom w:val="single" w:sz="4" w:space="0" w:color="auto"/>
              <w:right w:val="single" w:sz="4" w:space="0" w:color="auto"/>
            </w:tcBorders>
            <w:shd w:val="clear" w:color="auto" w:fill="auto"/>
            <w:vAlign w:val="center"/>
            <w:hideMark/>
          </w:tcPr>
          <w:p w14:paraId="6FDCD2C9" w14:textId="77777777" w:rsidR="00883246" w:rsidRPr="007C007B" w:rsidRDefault="00883246" w:rsidP="00E3492D">
            <w:pPr>
              <w:jc w:val="right"/>
              <w:rPr>
                <w:rFonts w:cs="Arial"/>
                <w:color w:val="000000"/>
                <w:sz w:val="20"/>
              </w:rPr>
            </w:pPr>
            <w:r w:rsidRPr="007C007B">
              <w:rPr>
                <w:rFonts w:cs="Arial"/>
                <w:color w:val="000000"/>
                <w:sz w:val="20"/>
              </w:rPr>
              <w:t>2,178</w:t>
            </w:r>
          </w:p>
        </w:tc>
        <w:tc>
          <w:tcPr>
            <w:tcW w:w="2106" w:type="dxa"/>
            <w:tcBorders>
              <w:top w:val="nil"/>
              <w:left w:val="nil"/>
              <w:bottom w:val="single" w:sz="4" w:space="0" w:color="auto"/>
              <w:right w:val="single" w:sz="4" w:space="0" w:color="auto"/>
            </w:tcBorders>
            <w:shd w:val="clear" w:color="auto" w:fill="auto"/>
            <w:vAlign w:val="bottom"/>
            <w:hideMark/>
          </w:tcPr>
          <w:p w14:paraId="6FDCD2CA" w14:textId="77777777" w:rsidR="00883246" w:rsidRPr="007C007B" w:rsidRDefault="00883246" w:rsidP="00E3492D">
            <w:pPr>
              <w:rPr>
                <w:rFonts w:cs="Arial"/>
                <w:color w:val="000000"/>
                <w:sz w:val="20"/>
              </w:rPr>
            </w:pPr>
            <w:r w:rsidRPr="007C007B">
              <w:rPr>
                <w:rFonts w:cs="Arial"/>
                <w:color w:val="000000"/>
                <w:sz w:val="20"/>
              </w:rPr>
              <w:t> </w:t>
            </w:r>
          </w:p>
        </w:tc>
        <w:tc>
          <w:tcPr>
            <w:tcW w:w="1857" w:type="dxa"/>
            <w:tcBorders>
              <w:top w:val="nil"/>
              <w:left w:val="nil"/>
              <w:bottom w:val="single" w:sz="4" w:space="0" w:color="auto"/>
              <w:right w:val="single" w:sz="4" w:space="0" w:color="auto"/>
            </w:tcBorders>
            <w:shd w:val="clear" w:color="auto" w:fill="auto"/>
            <w:vAlign w:val="bottom"/>
            <w:hideMark/>
          </w:tcPr>
          <w:p w14:paraId="6FDCD2CB" w14:textId="77777777" w:rsidR="00883246" w:rsidRPr="007C007B" w:rsidRDefault="00883246" w:rsidP="00E3492D">
            <w:pPr>
              <w:rPr>
                <w:rFonts w:cs="Arial"/>
                <w:color w:val="000000"/>
                <w:sz w:val="20"/>
              </w:rPr>
            </w:pPr>
            <w:r w:rsidRPr="007C007B">
              <w:rPr>
                <w:rFonts w:cs="Arial"/>
                <w:color w:val="000000"/>
                <w:sz w:val="20"/>
              </w:rPr>
              <w:t> </w:t>
            </w:r>
          </w:p>
        </w:tc>
        <w:tc>
          <w:tcPr>
            <w:tcW w:w="1857" w:type="dxa"/>
            <w:tcBorders>
              <w:top w:val="nil"/>
              <w:left w:val="nil"/>
              <w:bottom w:val="single" w:sz="4" w:space="0" w:color="auto"/>
              <w:right w:val="single" w:sz="4" w:space="0" w:color="auto"/>
            </w:tcBorders>
            <w:shd w:val="clear" w:color="auto" w:fill="auto"/>
            <w:vAlign w:val="bottom"/>
            <w:hideMark/>
          </w:tcPr>
          <w:p w14:paraId="6FDCD2CC" w14:textId="77777777" w:rsidR="00883246" w:rsidRPr="007C007B" w:rsidRDefault="00883246" w:rsidP="00E3492D">
            <w:pPr>
              <w:rPr>
                <w:rFonts w:cs="Arial"/>
                <w:color w:val="000000"/>
                <w:sz w:val="20"/>
              </w:rPr>
            </w:pPr>
            <w:r w:rsidRPr="007C007B">
              <w:rPr>
                <w:rFonts w:cs="Arial"/>
                <w:color w:val="000000"/>
                <w:sz w:val="20"/>
              </w:rPr>
              <w:t> </w:t>
            </w:r>
          </w:p>
        </w:tc>
      </w:tr>
      <w:tr w:rsidR="00883246" w:rsidRPr="007C007B" w14:paraId="6FDCD2D5" w14:textId="77777777" w:rsidTr="00156E1F">
        <w:trPr>
          <w:trHeight w:val="142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DCD2CE" w14:textId="77777777" w:rsidR="00883246" w:rsidRPr="007C007B" w:rsidRDefault="00883246" w:rsidP="00E3492D">
            <w:pPr>
              <w:rPr>
                <w:rFonts w:cs="Arial"/>
                <w:color w:val="000000"/>
                <w:sz w:val="20"/>
              </w:rPr>
            </w:pPr>
            <w:r w:rsidRPr="007C007B">
              <w:rPr>
                <w:rFonts w:cs="Arial"/>
                <w:color w:val="000000"/>
                <w:sz w:val="20"/>
              </w:rPr>
              <w:t>Financial Management Information System</w:t>
            </w:r>
          </w:p>
        </w:tc>
        <w:tc>
          <w:tcPr>
            <w:tcW w:w="1240" w:type="dxa"/>
            <w:tcBorders>
              <w:top w:val="nil"/>
              <w:left w:val="nil"/>
              <w:bottom w:val="single" w:sz="4" w:space="0" w:color="auto"/>
              <w:right w:val="single" w:sz="4" w:space="0" w:color="auto"/>
            </w:tcBorders>
            <w:shd w:val="clear" w:color="auto" w:fill="auto"/>
            <w:vAlign w:val="center"/>
            <w:hideMark/>
          </w:tcPr>
          <w:p w14:paraId="6FDCD2CF" w14:textId="77777777" w:rsidR="00883246" w:rsidRPr="007C007B" w:rsidRDefault="00883246" w:rsidP="00E3492D">
            <w:pPr>
              <w:jc w:val="right"/>
              <w:rPr>
                <w:rFonts w:cs="Arial"/>
                <w:color w:val="000000"/>
                <w:sz w:val="20"/>
              </w:rPr>
            </w:pPr>
            <w:r w:rsidRPr="007C007B">
              <w:rPr>
                <w:rFonts w:cs="Arial"/>
                <w:color w:val="000000"/>
                <w:sz w:val="20"/>
              </w:rPr>
              <w:t>94,886</w:t>
            </w:r>
          </w:p>
        </w:tc>
        <w:tc>
          <w:tcPr>
            <w:tcW w:w="1028" w:type="dxa"/>
            <w:tcBorders>
              <w:top w:val="nil"/>
              <w:left w:val="nil"/>
              <w:bottom w:val="single" w:sz="4" w:space="0" w:color="auto"/>
              <w:right w:val="single" w:sz="4" w:space="0" w:color="auto"/>
            </w:tcBorders>
            <w:shd w:val="clear" w:color="auto" w:fill="auto"/>
            <w:vAlign w:val="center"/>
            <w:hideMark/>
          </w:tcPr>
          <w:p w14:paraId="6FDCD2D0" w14:textId="77777777" w:rsidR="00883246" w:rsidRPr="007C007B" w:rsidRDefault="00883246" w:rsidP="00E3492D">
            <w:pPr>
              <w:jc w:val="right"/>
              <w:rPr>
                <w:rFonts w:cs="Arial"/>
                <w:color w:val="000000"/>
                <w:sz w:val="20"/>
              </w:rPr>
            </w:pPr>
            <w:r w:rsidRPr="007C007B">
              <w:rPr>
                <w:rFonts w:cs="Arial"/>
                <w:color w:val="000000"/>
                <w:sz w:val="20"/>
              </w:rPr>
              <w:t>53,726</w:t>
            </w:r>
          </w:p>
        </w:tc>
        <w:tc>
          <w:tcPr>
            <w:tcW w:w="1012" w:type="dxa"/>
            <w:tcBorders>
              <w:top w:val="nil"/>
              <w:left w:val="nil"/>
              <w:bottom w:val="single" w:sz="4" w:space="0" w:color="auto"/>
              <w:right w:val="single" w:sz="4" w:space="0" w:color="auto"/>
            </w:tcBorders>
            <w:shd w:val="clear" w:color="auto" w:fill="auto"/>
            <w:vAlign w:val="center"/>
            <w:hideMark/>
          </w:tcPr>
          <w:p w14:paraId="6FDCD2D1" w14:textId="77777777" w:rsidR="00883246" w:rsidRPr="007C007B" w:rsidRDefault="00883246" w:rsidP="00E3492D">
            <w:pPr>
              <w:jc w:val="right"/>
              <w:rPr>
                <w:rFonts w:cs="Arial"/>
                <w:color w:val="000000"/>
                <w:sz w:val="20"/>
              </w:rPr>
            </w:pPr>
            <w:r w:rsidRPr="007C007B">
              <w:rPr>
                <w:rFonts w:cs="Arial"/>
                <w:color w:val="000000"/>
                <w:sz w:val="20"/>
              </w:rPr>
              <w:t>41,159</w:t>
            </w:r>
          </w:p>
        </w:tc>
        <w:tc>
          <w:tcPr>
            <w:tcW w:w="2106" w:type="dxa"/>
            <w:tcBorders>
              <w:top w:val="nil"/>
              <w:left w:val="nil"/>
              <w:bottom w:val="single" w:sz="4" w:space="0" w:color="auto"/>
              <w:right w:val="single" w:sz="4" w:space="0" w:color="auto"/>
            </w:tcBorders>
            <w:shd w:val="clear" w:color="auto" w:fill="auto"/>
            <w:vAlign w:val="bottom"/>
            <w:hideMark/>
          </w:tcPr>
          <w:p w14:paraId="6FDCD2D2" w14:textId="77777777" w:rsidR="00883246" w:rsidRPr="007C007B" w:rsidRDefault="00883246" w:rsidP="00E3492D">
            <w:pPr>
              <w:rPr>
                <w:rFonts w:cs="Arial"/>
                <w:color w:val="000000"/>
                <w:sz w:val="20"/>
              </w:rPr>
            </w:pPr>
            <w:r w:rsidRPr="007C007B">
              <w:rPr>
                <w:rFonts w:cs="Arial"/>
                <w:color w:val="000000"/>
                <w:sz w:val="20"/>
              </w:rPr>
              <w:t>(1) An adjustment is also made to take account of historic FMIS price agreements that have been rolled forward.</w:t>
            </w:r>
          </w:p>
        </w:tc>
        <w:tc>
          <w:tcPr>
            <w:tcW w:w="1857" w:type="dxa"/>
            <w:tcBorders>
              <w:top w:val="nil"/>
              <w:left w:val="nil"/>
              <w:bottom w:val="single" w:sz="4" w:space="0" w:color="auto"/>
              <w:right w:val="single" w:sz="4" w:space="0" w:color="auto"/>
            </w:tcBorders>
            <w:shd w:val="clear" w:color="auto" w:fill="auto"/>
            <w:vAlign w:val="bottom"/>
            <w:hideMark/>
          </w:tcPr>
          <w:p w14:paraId="6FDCD2D3" w14:textId="77777777" w:rsidR="00883246" w:rsidRPr="007C007B" w:rsidRDefault="00883246" w:rsidP="00E3492D">
            <w:pPr>
              <w:rPr>
                <w:rFonts w:cs="Arial"/>
                <w:color w:val="000000"/>
                <w:sz w:val="20"/>
              </w:rPr>
            </w:pPr>
            <w:r w:rsidRPr="007C007B">
              <w:rPr>
                <w:rFonts w:cs="Arial"/>
                <w:color w:val="000000"/>
                <w:sz w:val="20"/>
              </w:rPr>
              <w:t>(2) Some FMIS projects were implemented at CBC only</w:t>
            </w:r>
          </w:p>
        </w:tc>
        <w:tc>
          <w:tcPr>
            <w:tcW w:w="1857" w:type="dxa"/>
            <w:tcBorders>
              <w:top w:val="nil"/>
              <w:left w:val="nil"/>
              <w:bottom w:val="single" w:sz="4" w:space="0" w:color="auto"/>
              <w:right w:val="single" w:sz="4" w:space="0" w:color="auto"/>
            </w:tcBorders>
            <w:shd w:val="clear" w:color="auto" w:fill="auto"/>
            <w:vAlign w:val="bottom"/>
            <w:hideMark/>
          </w:tcPr>
          <w:p w14:paraId="6FDCD2D4" w14:textId="77777777" w:rsidR="00883246" w:rsidRPr="007C007B" w:rsidRDefault="00883246" w:rsidP="00E3492D">
            <w:pPr>
              <w:rPr>
                <w:rFonts w:cs="Arial"/>
                <w:color w:val="000000"/>
                <w:sz w:val="20"/>
              </w:rPr>
            </w:pPr>
            <w:r w:rsidRPr="007C007B">
              <w:rPr>
                <w:rFonts w:cs="Arial"/>
                <w:color w:val="000000"/>
                <w:sz w:val="20"/>
              </w:rPr>
              <w:t> </w:t>
            </w:r>
          </w:p>
        </w:tc>
      </w:tr>
      <w:tr w:rsidR="00883246" w:rsidRPr="0044697D" w14:paraId="6FDCD2DD" w14:textId="77777777" w:rsidTr="00156E1F">
        <w:trPr>
          <w:trHeight w:val="285"/>
        </w:trPr>
        <w:tc>
          <w:tcPr>
            <w:tcW w:w="1560" w:type="dxa"/>
            <w:tcBorders>
              <w:top w:val="nil"/>
              <w:left w:val="single" w:sz="4" w:space="0" w:color="auto"/>
              <w:bottom w:val="nil"/>
              <w:right w:val="single" w:sz="4" w:space="0" w:color="auto"/>
            </w:tcBorders>
            <w:shd w:val="clear" w:color="auto" w:fill="auto"/>
            <w:vAlign w:val="center"/>
            <w:hideMark/>
          </w:tcPr>
          <w:p w14:paraId="6FDCD2D6" w14:textId="77777777" w:rsidR="00883246" w:rsidRPr="007C007B" w:rsidRDefault="00883246" w:rsidP="00E3492D">
            <w:pPr>
              <w:rPr>
                <w:rFonts w:cs="Arial"/>
                <w:color w:val="000000"/>
                <w:sz w:val="20"/>
              </w:rPr>
            </w:pPr>
            <w:r w:rsidRPr="007C007B">
              <w:rPr>
                <w:rFonts w:cs="Arial"/>
                <w:color w:val="000000"/>
                <w:sz w:val="20"/>
              </w:rPr>
              <w:t>Income</w:t>
            </w:r>
          </w:p>
        </w:tc>
        <w:tc>
          <w:tcPr>
            <w:tcW w:w="1240" w:type="dxa"/>
            <w:tcBorders>
              <w:top w:val="nil"/>
              <w:left w:val="nil"/>
              <w:bottom w:val="nil"/>
              <w:right w:val="single" w:sz="4" w:space="0" w:color="auto"/>
            </w:tcBorders>
            <w:shd w:val="clear" w:color="auto" w:fill="auto"/>
            <w:vAlign w:val="center"/>
            <w:hideMark/>
          </w:tcPr>
          <w:p w14:paraId="6FDCD2D7" w14:textId="77777777" w:rsidR="00883246" w:rsidRPr="007C007B" w:rsidRDefault="00883246" w:rsidP="00E3492D">
            <w:pPr>
              <w:jc w:val="right"/>
              <w:rPr>
                <w:rFonts w:cs="Arial"/>
                <w:color w:val="000000"/>
                <w:sz w:val="20"/>
              </w:rPr>
            </w:pPr>
            <w:r w:rsidRPr="007C007B">
              <w:rPr>
                <w:rFonts w:cs="Arial"/>
                <w:color w:val="000000"/>
                <w:sz w:val="20"/>
              </w:rPr>
              <w:t>(37)</w:t>
            </w:r>
          </w:p>
        </w:tc>
        <w:tc>
          <w:tcPr>
            <w:tcW w:w="1028" w:type="dxa"/>
            <w:tcBorders>
              <w:top w:val="nil"/>
              <w:left w:val="nil"/>
              <w:bottom w:val="nil"/>
              <w:right w:val="single" w:sz="4" w:space="0" w:color="auto"/>
            </w:tcBorders>
            <w:shd w:val="clear" w:color="auto" w:fill="auto"/>
            <w:vAlign w:val="center"/>
            <w:hideMark/>
          </w:tcPr>
          <w:p w14:paraId="6FDCD2D8" w14:textId="77777777" w:rsidR="00883246" w:rsidRPr="007C007B" w:rsidRDefault="00883246" w:rsidP="00E3492D">
            <w:pPr>
              <w:jc w:val="right"/>
              <w:rPr>
                <w:rFonts w:cs="Arial"/>
                <w:color w:val="000000"/>
                <w:sz w:val="20"/>
              </w:rPr>
            </w:pPr>
            <w:r w:rsidRPr="007C007B">
              <w:rPr>
                <w:rFonts w:cs="Arial"/>
                <w:color w:val="000000"/>
                <w:sz w:val="20"/>
              </w:rPr>
              <w:t>(19)</w:t>
            </w:r>
          </w:p>
        </w:tc>
        <w:tc>
          <w:tcPr>
            <w:tcW w:w="1012" w:type="dxa"/>
            <w:tcBorders>
              <w:top w:val="nil"/>
              <w:left w:val="nil"/>
              <w:bottom w:val="nil"/>
              <w:right w:val="single" w:sz="4" w:space="0" w:color="auto"/>
            </w:tcBorders>
            <w:shd w:val="clear" w:color="auto" w:fill="auto"/>
            <w:vAlign w:val="center"/>
            <w:hideMark/>
          </w:tcPr>
          <w:p w14:paraId="6FDCD2D9" w14:textId="77777777" w:rsidR="00883246" w:rsidRPr="007C007B" w:rsidRDefault="00883246" w:rsidP="00E3492D">
            <w:pPr>
              <w:jc w:val="right"/>
              <w:rPr>
                <w:rFonts w:cs="Arial"/>
                <w:color w:val="000000"/>
                <w:sz w:val="20"/>
              </w:rPr>
            </w:pPr>
            <w:r w:rsidRPr="007C007B">
              <w:rPr>
                <w:rFonts w:cs="Arial"/>
                <w:color w:val="000000"/>
                <w:sz w:val="20"/>
              </w:rPr>
              <w:t>(19)</w:t>
            </w:r>
          </w:p>
        </w:tc>
        <w:tc>
          <w:tcPr>
            <w:tcW w:w="2106" w:type="dxa"/>
            <w:tcBorders>
              <w:top w:val="nil"/>
              <w:left w:val="nil"/>
              <w:bottom w:val="nil"/>
              <w:right w:val="single" w:sz="4" w:space="0" w:color="auto"/>
            </w:tcBorders>
            <w:shd w:val="clear" w:color="auto" w:fill="auto"/>
            <w:vAlign w:val="bottom"/>
            <w:hideMark/>
          </w:tcPr>
          <w:p w14:paraId="6FDCD2DA" w14:textId="77777777" w:rsidR="00883246" w:rsidRPr="007C007B" w:rsidRDefault="00883246" w:rsidP="00E3492D">
            <w:pPr>
              <w:rPr>
                <w:rFonts w:cs="Arial"/>
                <w:color w:val="000000"/>
                <w:sz w:val="20"/>
              </w:rPr>
            </w:pPr>
            <w:r w:rsidRPr="007C007B">
              <w:rPr>
                <w:rFonts w:cs="Arial"/>
                <w:color w:val="000000"/>
                <w:sz w:val="20"/>
              </w:rPr>
              <w:t> </w:t>
            </w:r>
          </w:p>
        </w:tc>
        <w:tc>
          <w:tcPr>
            <w:tcW w:w="1857" w:type="dxa"/>
            <w:tcBorders>
              <w:top w:val="nil"/>
              <w:left w:val="nil"/>
              <w:bottom w:val="nil"/>
              <w:right w:val="single" w:sz="4" w:space="0" w:color="auto"/>
            </w:tcBorders>
            <w:shd w:val="clear" w:color="auto" w:fill="auto"/>
            <w:vAlign w:val="bottom"/>
            <w:hideMark/>
          </w:tcPr>
          <w:p w14:paraId="6FDCD2DB" w14:textId="77777777" w:rsidR="00883246" w:rsidRPr="007C007B" w:rsidRDefault="00883246" w:rsidP="00E3492D">
            <w:pPr>
              <w:rPr>
                <w:rFonts w:cs="Arial"/>
                <w:color w:val="000000"/>
                <w:sz w:val="20"/>
              </w:rPr>
            </w:pPr>
            <w:r w:rsidRPr="007C007B">
              <w:rPr>
                <w:rFonts w:cs="Arial"/>
                <w:color w:val="000000"/>
                <w:sz w:val="20"/>
              </w:rPr>
              <w:t> </w:t>
            </w:r>
          </w:p>
        </w:tc>
        <w:tc>
          <w:tcPr>
            <w:tcW w:w="1857" w:type="dxa"/>
            <w:tcBorders>
              <w:top w:val="nil"/>
              <w:left w:val="nil"/>
              <w:bottom w:val="nil"/>
              <w:right w:val="single" w:sz="4" w:space="0" w:color="auto"/>
            </w:tcBorders>
            <w:shd w:val="clear" w:color="auto" w:fill="auto"/>
            <w:vAlign w:val="bottom"/>
            <w:hideMark/>
          </w:tcPr>
          <w:p w14:paraId="6FDCD2DC" w14:textId="77777777" w:rsidR="00883246" w:rsidRPr="007C007B" w:rsidRDefault="00883246" w:rsidP="00E3492D">
            <w:pPr>
              <w:rPr>
                <w:rFonts w:cs="Arial"/>
                <w:color w:val="000000"/>
                <w:sz w:val="20"/>
              </w:rPr>
            </w:pPr>
            <w:r w:rsidRPr="007C007B">
              <w:rPr>
                <w:rFonts w:cs="Arial"/>
                <w:color w:val="000000"/>
                <w:sz w:val="20"/>
              </w:rPr>
              <w:t> </w:t>
            </w:r>
          </w:p>
        </w:tc>
      </w:tr>
    </w:tbl>
    <w:p w14:paraId="6FDCD2DE" w14:textId="77777777" w:rsidR="00883246" w:rsidRPr="009725FB" w:rsidRDefault="00883246" w:rsidP="001C5E49">
      <w:pPr>
        <w:tabs>
          <w:tab w:val="left" w:pos="2839"/>
        </w:tabs>
        <w:rPr>
          <w:rFonts w:cs="Arial"/>
        </w:rPr>
      </w:pPr>
    </w:p>
    <w:sectPr w:rsidR="00883246"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CD2E3" w14:textId="77777777" w:rsidR="00402B45" w:rsidRDefault="00402B45">
      <w:r>
        <w:separator/>
      </w:r>
    </w:p>
  </w:endnote>
  <w:endnote w:type="continuationSeparator" w:id="0">
    <w:p w14:paraId="6FDCD2E4" w14:textId="77777777" w:rsidR="00402B45" w:rsidRDefault="0040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D2E5"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607F1">
      <w:rPr>
        <w:noProof/>
        <w:sz w:val="24"/>
      </w:rPr>
      <w:t>2</w:t>
    </w:r>
    <w:r w:rsidRPr="00FD7B65">
      <w:rPr>
        <w:noProof/>
        <w:sz w:val="24"/>
      </w:rPr>
      <w:fldChar w:fldCharType="end"/>
    </w:r>
  </w:p>
  <w:p w14:paraId="6FDCD2E6"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CD2E1" w14:textId="77777777" w:rsidR="00402B45" w:rsidRDefault="00402B45">
      <w:r>
        <w:separator/>
      </w:r>
    </w:p>
  </w:footnote>
  <w:footnote w:type="continuationSeparator" w:id="0">
    <w:p w14:paraId="6FDCD2E2" w14:textId="77777777" w:rsidR="00402B45" w:rsidRDefault="0040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677315"/>
    <w:multiLevelType w:val="hybridMultilevel"/>
    <w:tmpl w:val="60D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6932"/>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5F37C5B"/>
    <w:multiLevelType w:val="hybridMultilevel"/>
    <w:tmpl w:val="67DC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1453A"/>
    <w:multiLevelType w:val="multilevel"/>
    <w:tmpl w:val="CB145D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193C35FF"/>
    <w:multiLevelType w:val="hybridMultilevel"/>
    <w:tmpl w:val="5930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716EF"/>
    <w:multiLevelType w:val="hybridMultilevel"/>
    <w:tmpl w:val="072A2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852B7"/>
    <w:multiLevelType w:val="hybridMultilevel"/>
    <w:tmpl w:val="0AC8F82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D16B7"/>
    <w:multiLevelType w:val="multilevel"/>
    <w:tmpl w:val="B7E2DB16"/>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6B363220"/>
    <w:multiLevelType w:val="multilevel"/>
    <w:tmpl w:val="CB145D8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3" w15:restartNumberingAfterBreak="0">
    <w:nsid w:val="722B36C2"/>
    <w:multiLevelType w:val="hybridMultilevel"/>
    <w:tmpl w:val="D8BE7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8F4302"/>
    <w:multiLevelType w:val="hybridMultilevel"/>
    <w:tmpl w:val="B6A8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13"/>
  </w:num>
  <w:num w:numId="5">
    <w:abstractNumId w:val="16"/>
  </w:num>
  <w:num w:numId="6">
    <w:abstractNumId w:val="9"/>
  </w:num>
  <w:num w:numId="7">
    <w:abstractNumId w:val="7"/>
  </w:num>
  <w:num w:numId="8">
    <w:abstractNumId w:val="8"/>
  </w:num>
  <w:num w:numId="9">
    <w:abstractNumId w:val="4"/>
  </w:num>
  <w:num w:numId="10">
    <w:abstractNumId w:val="5"/>
  </w:num>
  <w:num w:numId="11">
    <w:abstractNumId w:val="6"/>
  </w:num>
  <w:num w:numId="12">
    <w:abstractNumId w:val="14"/>
  </w:num>
  <w:num w:numId="13">
    <w:abstractNumId w:val="0"/>
  </w:num>
  <w:num w:numId="14">
    <w:abstractNumId w:val="22"/>
  </w:num>
  <w:num w:numId="15">
    <w:abstractNumId w:val="10"/>
  </w:num>
  <w:num w:numId="16">
    <w:abstractNumId w:val="24"/>
  </w:num>
  <w:num w:numId="17">
    <w:abstractNumId w:val="3"/>
  </w:num>
  <w:num w:numId="18">
    <w:abstractNumId w:val="11"/>
  </w:num>
  <w:num w:numId="19">
    <w:abstractNumId w:val="23"/>
  </w:num>
  <w:num w:numId="20">
    <w:abstractNumId w:val="2"/>
  </w:num>
  <w:num w:numId="21">
    <w:abstractNumId w:val="12"/>
  </w:num>
  <w:num w:numId="22">
    <w:abstractNumId w:val="20"/>
  </w:num>
  <w:num w:numId="23">
    <w:abstractNumId w:val="18"/>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3441A"/>
    <w:rsid w:val="00090859"/>
    <w:rsid w:val="000B5251"/>
    <w:rsid w:val="000E10FE"/>
    <w:rsid w:val="000F2C8A"/>
    <w:rsid w:val="00115423"/>
    <w:rsid w:val="001544DD"/>
    <w:rsid w:val="00156E1F"/>
    <w:rsid w:val="00181F44"/>
    <w:rsid w:val="00184E1D"/>
    <w:rsid w:val="001938D6"/>
    <w:rsid w:val="001C5E49"/>
    <w:rsid w:val="002221BD"/>
    <w:rsid w:val="0025591B"/>
    <w:rsid w:val="00261D66"/>
    <w:rsid w:val="002820A5"/>
    <w:rsid w:val="002873A1"/>
    <w:rsid w:val="002E4FF4"/>
    <w:rsid w:val="002F5C5E"/>
    <w:rsid w:val="00342AB1"/>
    <w:rsid w:val="00345C71"/>
    <w:rsid w:val="00350EA9"/>
    <w:rsid w:val="00386AAD"/>
    <w:rsid w:val="003902A2"/>
    <w:rsid w:val="003A1B3F"/>
    <w:rsid w:val="003A23D3"/>
    <w:rsid w:val="003A2919"/>
    <w:rsid w:val="003B1E6D"/>
    <w:rsid w:val="003C36EB"/>
    <w:rsid w:val="003E33E6"/>
    <w:rsid w:val="003F5603"/>
    <w:rsid w:val="00402B45"/>
    <w:rsid w:val="00405D4A"/>
    <w:rsid w:val="004218EA"/>
    <w:rsid w:val="00442C46"/>
    <w:rsid w:val="004607F1"/>
    <w:rsid w:val="00474DA8"/>
    <w:rsid w:val="0047741D"/>
    <w:rsid w:val="004A127F"/>
    <w:rsid w:val="004A45D4"/>
    <w:rsid w:val="004D7260"/>
    <w:rsid w:val="004F23B3"/>
    <w:rsid w:val="005041BB"/>
    <w:rsid w:val="00505FBA"/>
    <w:rsid w:val="00525728"/>
    <w:rsid w:val="00533525"/>
    <w:rsid w:val="00547120"/>
    <w:rsid w:val="00547481"/>
    <w:rsid w:val="00576A82"/>
    <w:rsid w:val="00581B11"/>
    <w:rsid w:val="005A26AD"/>
    <w:rsid w:val="005B0C36"/>
    <w:rsid w:val="005D4F59"/>
    <w:rsid w:val="0060374B"/>
    <w:rsid w:val="006101CF"/>
    <w:rsid w:val="00630F86"/>
    <w:rsid w:val="00633396"/>
    <w:rsid w:val="0064079D"/>
    <w:rsid w:val="00645A0B"/>
    <w:rsid w:val="006555E6"/>
    <w:rsid w:val="00673664"/>
    <w:rsid w:val="006879CA"/>
    <w:rsid w:val="006B645E"/>
    <w:rsid w:val="006B7116"/>
    <w:rsid w:val="006C04C1"/>
    <w:rsid w:val="006C08E2"/>
    <w:rsid w:val="006C209A"/>
    <w:rsid w:val="006E09FB"/>
    <w:rsid w:val="006E2619"/>
    <w:rsid w:val="006F2214"/>
    <w:rsid w:val="006F76A3"/>
    <w:rsid w:val="00707E99"/>
    <w:rsid w:val="00712E3F"/>
    <w:rsid w:val="007649B6"/>
    <w:rsid w:val="00772B9C"/>
    <w:rsid w:val="00792A2B"/>
    <w:rsid w:val="00883246"/>
    <w:rsid w:val="00893AD2"/>
    <w:rsid w:val="008A2F6B"/>
    <w:rsid w:val="008A42E3"/>
    <w:rsid w:val="008A77AB"/>
    <w:rsid w:val="008B41C5"/>
    <w:rsid w:val="008C3B1A"/>
    <w:rsid w:val="008D623F"/>
    <w:rsid w:val="008F4B91"/>
    <w:rsid w:val="008F5E5E"/>
    <w:rsid w:val="0090542C"/>
    <w:rsid w:val="0091603A"/>
    <w:rsid w:val="009350CB"/>
    <w:rsid w:val="009410CF"/>
    <w:rsid w:val="009538AE"/>
    <w:rsid w:val="0097006B"/>
    <w:rsid w:val="00980267"/>
    <w:rsid w:val="00983CD5"/>
    <w:rsid w:val="00992E79"/>
    <w:rsid w:val="009A714A"/>
    <w:rsid w:val="009C1143"/>
    <w:rsid w:val="009E48E0"/>
    <w:rsid w:val="00A1406A"/>
    <w:rsid w:val="00A22D02"/>
    <w:rsid w:val="00A30426"/>
    <w:rsid w:val="00A4702E"/>
    <w:rsid w:val="00A50754"/>
    <w:rsid w:val="00A56681"/>
    <w:rsid w:val="00A76482"/>
    <w:rsid w:val="00AC4A99"/>
    <w:rsid w:val="00B05FE8"/>
    <w:rsid w:val="00B1788B"/>
    <w:rsid w:val="00B443DD"/>
    <w:rsid w:val="00B51DB8"/>
    <w:rsid w:val="00B62D79"/>
    <w:rsid w:val="00B70B91"/>
    <w:rsid w:val="00B716F5"/>
    <w:rsid w:val="00B72A06"/>
    <w:rsid w:val="00B7347E"/>
    <w:rsid w:val="00B766C4"/>
    <w:rsid w:val="00B92298"/>
    <w:rsid w:val="00BA2606"/>
    <w:rsid w:val="00BC6635"/>
    <w:rsid w:val="00BE2A3F"/>
    <w:rsid w:val="00C022F9"/>
    <w:rsid w:val="00C2042E"/>
    <w:rsid w:val="00C209E3"/>
    <w:rsid w:val="00C30128"/>
    <w:rsid w:val="00C52450"/>
    <w:rsid w:val="00C64ED1"/>
    <w:rsid w:val="00C66BAA"/>
    <w:rsid w:val="00C903AC"/>
    <w:rsid w:val="00CA33EC"/>
    <w:rsid w:val="00CB32DF"/>
    <w:rsid w:val="00CC3246"/>
    <w:rsid w:val="00CE3DA1"/>
    <w:rsid w:val="00CE4482"/>
    <w:rsid w:val="00CF6B60"/>
    <w:rsid w:val="00D03328"/>
    <w:rsid w:val="00D263EF"/>
    <w:rsid w:val="00D312BA"/>
    <w:rsid w:val="00D36638"/>
    <w:rsid w:val="00D37BAE"/>
    <w:rsid w:val="00D772AB"/>
    <w:rsid w:val="00D90A00"/>
    <w:rsid w:val="00D91845"/>
    <w:rsid w:val="00D9371C"/>
    <w:rsid w:val="00DA6FF8"/>
    <w:rsid w:val="00DB3FD0"/>
    <w:rsid w:val="00DD43EC"/>
    <w:rsid w:val="00DE5E12"/>
    <w:rsid w:val="00E2196F"/>
    <w:rsid w:val="00E2276E"/>
    <w:rsid w:val="00E41950"/>
    <w:rsid w:val="00E569CB"/>
    <w:rsid w:val="00E577A2"/>
    <w:rsid w:val="00E60A53"/>
    <w:rsid w:val="00E63940"/>
    <w:rsid w:val="00E733A5"/>
    <w:rsid w:val="00E753EC"/>
    <w:rsid w:val="00E84459"/>
    <w:rsid w:val="00E971A2"/>
    <w:rsid w:val="00EB2D32"/>
    <w:rsid w:val="00EB7C94"/>
    <w:rsid w:val="00ED257A"/>
    <w:rsid w:val="00F3057A"/>
    <w:rsid w:val="00F30E9C"/>
    <w:rsid w:val="00F43895"/>
    <w:rsid w:val="00F55E4D"/>
    <w:rsid w:val="00F61752"/>
    <w:rsid w:val="00F67F95"/>
    <w:rsid w:val="00FD7B65"/>
    <w:rsid w:val="00FF0801"/>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DCD1B9"/>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3494-6808-4D29-B3B5-2456B774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3</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2018-03-14T15:24:00Z</cp:lastPrinted>
  <dcterms:created xsi:type="dcterms:W3CDTF">2019-01-31T17:47:00Z</dcterms:created>
  <dcterms:modified xsi:type="dcterms:W3CDTF">2019-01-31T17:52:00Z</dcterms:modified>
</cp:coreProperties>
</file>